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EE5F5F" w14:paraId="009A4DC5" w14:textId="77777777" w:rsidTr="00D25CB4">
        <w:tc>
          <w:tcPr>
            <w:tcW w:w="4786" w:type="dxa"/>
            <w:hideMark/>
          </w:tcPr>
          <w:p w14:paraId="4051C4DA" w14:textId="77777777" w:rsidR="007E1D85" w:rsidRPr="00EE5F5F" w:rsidRDefault="007E1D85" w:rsidP="006C33FD">
            <w:pPr>
              <w:widowControl w:val="0"/>
              <w:spacing w:after="0" w:line="240" w:lineRule="auto"/>
              <w:ind w:hanging="142"/>
              <w:rPr>
                <w:rFonts w:ascii="Times New Roman" w:eastAsia="Batang" w:hAnsi="Times New Roman"/>
                <w:snapToGrid w:val="0"/>
                <w:sz w:val="24"/>
                <w:szCs w:val="24"/>
                <w:lang w:val="en-US" w:eastAsia="ru-RU"/>
              </w:rPr>
            </w:pPr>
          </w:p>
        </w:tc>
        <w:tc>
          <w:tcPr>
            <w:tcW w:w="4536" w:type="dxa"/>
            <w:hideMark/>
          </w:tcPr>
          <w:p w14:paraId="1BF9A4E2" w14:textId="77777777" w:rsidR="00523D82" w:rsidRPr="00EE5F5F" w:rsidRDefault="00523D82" w:rsidP="006936B9">
            <w:pPr>
              <w:widowControl w:val="0"/>
              <w:spacing w:after="0" w:line="240" w:lineRule="auto"/>
              <w:ind w:left="1024"/>
              <w:jc w:val="both"/>
              <w:rPr>
                <w:rFonts w:ascii="Times New Roman" w:eastAsia="Times New Roman" w:hAnsi="Times New Roman"/>
                <w:b/>
                <w:snapToGrid w:val="0"/>
                <w:sz w:val="24"/>
                <w:szCs w:val="24"/>
                <w:lang w:eastAsia="ru-RU"/>
              </w:rPr>
            </w:pPr>
            <w:r w:rsidRPr="00EE5F5F">
              <w:rPr>
                <w:rFonts w:ascii="Times New Roman" w:eastAsia="Times New Roman" w:hAnsi="Times New Roman"/>
                <w:b/>
                <w:snapToGrid w:val="0"/>
                <w:sz w:val="24"/>
                <w:szCs w:val="24"/>
                <w:lang w:eastAsia="ru-RU"/>
              </w:rPr>
              <w:t>УТВЕРЖДЕНА</w:t>
            </w:r>
          </w:p>
          <w:p w14:paraId="533722BB" w14:textId="77777777" w:rsidR="00653617" w:rsidRPr="00EE5F5F" w:rsidRDefault="00523D82" w:rsidP="006936B9">
            <w:pPr>
              <w:autoSpaceDE w:val="0"/>
              <w:autoSpaceDN w:val="0"/>
              <w:spacing w:after="0" w:line="240" w:lineRule="auto"/>
              <w:ind w:left="1024"/>
              <w:jc w:val="both"/>
              <w:rPr>
                <w:rFonts w:ascii="Times New Roman" w:eastAsia="Times New Roman" w:hAnsi="Times New Roman"/>
                <w:sz w:val="24"/>
                <w:szCs w:val="24"/>
                <w:lang w:eastAsia="ru-RU"/>
              </w:rPr>
            </w:pPr>
            <w:r w:rsidRPr="00EE5F5F">
              <w:rPr>
                <w:rFonts w:ascii="Times New Roman" w:eastAsia="Times New Roman" w:hAnsi="Times New Roman"/>
                <w:sz w:val="24"/>
                <w:szCs w:val="24"/>
                <w:lang w:eastAsia="ru-RU"/>
              </w:rPr>
              <w:t xml:space="preserve">Приказом </w:t>
            </w:r>
            <w:r w:rsidR="004C462F" w:rsidRPr="00EE5F5F">
              <w:rPr>
                <w:rFonts w:ascii="Times New Roman" w:eastAsia="Times New Roman" w:hAnsi="Times New Roman"/>
                <w:sz w:val="24"/>
                <w:szCs w:val="24"/>
                <w:lang w:eastAsia="ru-RU"/>
              </w:rPr>
              <w:t>П</w:t>
            </w:r>
            <w:r w:rsidRPr="00EE5F5F">
              <w:rPr>
                <w:rFonts w:ascii="Times New Roman" w:eastAsia="Times New Roman" w:hAnsi="Times New Roman"/>
                <w:sz w:val="24"/>
                <w:szCs w:val="24"/>
                <w:lang w:eastAsia="ru-RU"/>
              </w:rPr>
              <w:t xml:space="preserve">редседателя </w:t>
            </w:r>
          </w:p>
          <w:p w14:paraId="053C355B" w14:textId="77777777" w:rsidR="00523D82" w:rsidRPr="00EE5F5F" w:rsidRDefault="00264A6E" w:rsidP="006936B9">
            <w:pPr>
              <w:autoSpaceDE w:val="0"/>
              <w:autoSpaceDN w:val="0"/>
              <w:spacing w:after="0" w:line="240" w:lineRule="auto"/>
              <w:ind w:left="1024"/>
              <w:jc w:val="both"/>
              <w:rPr>
                <w:rFonts w:ascii="Times New Roman" w:eastAsia="Times New Roman" w:hAnsi="Times New Roman"/>
                <w:sz w:val="24"/>
                <w:szCs w:val="24"/>
                <w:lang w:eastAsia="ru-RU"/>
              </w:rPr>
            </w:pPr>
            <w:r w:rsidRPr="00EE5F5F">
              <w:rPr>
                <w:rFonts w:ascii="Times New Roman" w:eastAsia="Times New Roman" w:hAnsi="Times New Roman"/>
                <w:sz w:val="24"/>
                <w:szCs w:val="24"/>
                <w:lang w:eastAsia="ru-RU"/>
              </w:rPr>
              <w:t>РГУ «</w:t>
            </w:r>
            <w:r w:rsidR="00523D82" w:rsidRPr="00EE5F5F">
              <w:rPr>
                <w:rFonts w:ascii="Times New Roman" w:eastAsia="Times New Roman" w:hAnsi="Times New Roman"/>
                <w:sz w:val="24"/>
                <w:szCs w:val="24"/>
                <w:lang w:eastAsia="ru-RU"/>
              </w:rPr>
              <w:t xml:space="preserve">Комитет </w:t>
            </w:r>
            <w:r w:rsidR="006C33FD" w:rsidRPr="00EE5F5F">
              <w:rPr>
                <w:rFonts w:ascii="Times New Roman" w:eastAsia="Times New Roman" w:hAnsi="Times New Roman"/>
                <w:sz w:val="24"/>
                <w:szCs w:val="24"/>
                <w:lang w:eastAsia="ru-RU"/>
              </w:rPr>
              <w:t>медицинского и фармацевтического контроля</w:t>
            </w:r>
          </w:p>
          <w:p w14:paraId="71D79A3B" w14:textId="77777777" w:rsidR="00523D82" w:rsidRPr="00EE5F5F" w:rsidRDefault="00523D82" w:rsidP="006936B9">
            <w:pPr>
              <w:keepNext/>
              <w:autoSpaceDE w:val="0"/>
              <w:autoSpaceDN w:val="0"/>
              <w:spacing w:after="0" w:line="240" w:lineRule="auto"/>
              <w:ind w:left="1024"/>
              <w:jc w:val="both"/>
              <w:outlineLvl w:val="2"/>
              <w:rPr>
                <w:rFonts w:ascii="Times New Roman" w:eastAsia="Times New Roman" w:hAnsi="Times New Roman"/>
                <w:bCs/>
                <w:sz w:val="24"/>
                <w:szCs w:val="24"/>
                <w:lang w:val="uk-UA" w:eastAsia="ru-RU"/>
              </w:rPr>
            </w:pPr>
            <w:r w:rsidRPr="00EE5F5F">
              <w:rPr>
                <w:rFonts w:ascii="Times New Roman" w:eastAsia="Times New Roman" w:hAnsi="Times New Roman"/>
                <w:bCs/>
                <w:sz w:val="24"/>
                <w:szCs w:val="24"/>
                <w:lang w:eastAsia="ru-RU"/>
              </w:rPr>
              <w:t>Министерства здравоохранения</w:t>
            </w:r>
            <w:r w:rsidRPr="00EE5F5F">
              <w:rPr>
                <w:rFonts w:ascii="Times New Roman" w:eastAsia="Times New Roman" w:hAnsi="Times New Roman"/>
                <w:bCs/>
                <w:sz w:val="24"/>
                <w:szCs w:val="24"/>
                <w:lang w:val="uk-UA" w:eastAsia="ru-RU"/>
              </w:rPr>
              <w:t xml:space="preserve"> </w:t>
            </w:r>
          </w:p>
          <w:p w14:paraId="7744AFC8" w14:textId="77777777" w:rsidR="00523D82" w:rsidRPr="00EE5F5F" w:rsidRDefault="00523D82" w:rsidP="006936B9">
            <w:pPr>
              <w:keepNext/>
              <w:autoSpaceDE w:val="0"/>
              <w:autoSpaceDN w:val="0"/>
              <w:spacing w:after="0" w:line="240" w:lineRule="auto"/>
              <w:ind w:left="1024"/>
              <w:jc w:val="both"/>
              <w:outlineLvl w:val="3"/>
              <w:rPr>
                <w:rFonts w:ascii="Times New Roman" w:eastAsia="Times New Roman" w:hAnsi="Times New Roman"/>
                <w:bCs/>
                <w:sz w:val="24"/>
                <w:szCs w:val="24"/>
                <w:lang w:eastAsia="ru-RU"/>
              </w:rPr>
            </w:pPr>
            <w:r w:rsidRPr="00EE5F5F">
              <w:rPr>
                <w:rFonts w:ascii="Times New Roman" w:eastAsia="Times New Roman" w:hAnsi="Times New Roman"/>
                <w:bCs/>
                <w:sz w:val="24"/>
                <w:szCs w:val="24"/>
                <w:lang w:eastAsia="ru-RU"/>
              </w:rPr>
              <w:t>Республики Казахстан</w:t>
            </w:r>
            <w:r w:rsidR="00264A6E" w:rsidRPr="00EE5F5F">
              <w:rPr>
                <w:rFonts w:ascii="Times New Roman" w:eastAsia="Times New Roman" w:hAnsi="Times New Roman"/>
                <w:bCs/>
                <w:sz w:val="24"/>
                <w:szCs w:val="24"/>
                <w:lang w:eastAsia="ru-RU"/>
              </w:rPr>
              <w:t>»</w:t>
            </w:r>
          </w:p>
          <w:p w14:paraId="527CBD2F" w14:textId="77777777" w:rsidR="00F278AF" w:rsidRPr="00F278AF" w:rsidRDefault="00F278AF" w:rsidP="00F278AF">
            <w:pPr>
              <w:autoSpaceDE w:val="0"/>
              <w:autoSpaceDN w:val="0"/>
              <w:spacing w:after="0" w:line="240" w:lineRule="auto"/>
              <w:ind w:left="1024"/>
              <w:jc w:val="both"/>
              <w:rPr>
                <w:rFonts w:ascii="Times New Roman" w:eastAsia="Times New Roman" w:hAnsi="Times New Roman"/>
                <w:sz w:val="24"/>
                <w:szCs w:val="24"/>
                <w:lang w:eastAsia="ru-RU"/>
              </w:rPr>
            </w:pPr>
            <w:r w:rsidRPr="00F278AF">
              <w:rPr>
                <w:rFonts w:ascii="Times New Roman" w:eastAsia="Times New Roman" w:hAnsi="Times New Roman"/>
                <w:sz w:val="24"/>
                <w:szCs w:val="24"/>
                <w:lang w:eastAsia="ru-RU"/>
              </w:rPr>
              <w:t>от «28»   04    2023 г.</w:t>
            </w:r>
          </w:p>
          <w:p w14:paraId="46724064" w14:textId="1672952F" w:rsidR="00523D82" w:rsidRPr="00EE5F5F" w:rsidRDefault="00F278AF" w:rsidP="00F278AF">
            <w:pPr>
              <w:widowControl w:val="0"/>
              <w:spacing w:after="0" w:line="240" w:lineRule="auto"/>
              <w:ind w:left="1024"/>
              <w:jc w:val="both"/>
              <w:rPr>
                <w:rFonts w:ascii="Times New Roman" w:eastAsia="Batang" w:hAnsi="Times New Roman"/>
                <w:snapToGrid w:val="0"/>
                <w:sz w:val="24"/>
                <w:szCs w:val="24"/>
                <w:lang w:eastAsia="ru-RU"/>
              </w:rPr>
            </w:pPr>
            <w:r w:rsidRPr="00F278AF">
              <w:rPr>
                <w:rFonts w:ascii="Times New Roman" w:eastAsia="Times New Roman" w:hAnsi="Times New Roman"/>
                <w:sz w:val="24"/>
                <w:szCs w:val="24"/>
                <w:lang w:eastAsia="ru-RU"/>
              </w:rPr>
              <w:t>№ N062845</w:t>
            </w:r>
          </w:p>
        </w:tc>
        <w:tc>
          <w:tcPr>
            <w:tcW w:w="4536" w:type="dxa"/>
          </w:tcPr>
          <w:p w14:paraId="281D217C" w14:textId="77777777" w:rsidR="00523D82" w:rsidRPr="00EE5F5F"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EE5F5F">
              <w:rPr>
                <w:rFonts w:ascii="Times New Roman" w:eastAsia="Times New Roman" w:hAnsi="Times New Roman"/>
                <w:b/>
                <w:snapToGrid w:val="0"/>
                <w:sz w:val="24"/>
                <w:szCs w:val="24"/>
                <w:lang w:eastAsia="ru-RU"/>
              </w:rPr>
              <w:t xml:space="preserve"> </w:t>
            </w:r>
          </w:p>
        </w:tc>
      </w:tr>
      <w:tr w:rsidR="00523D82" w:rsidRPr="00EE5F5F" w14:paraId="0ED451E7" w14:textId="77777777" w:rsidTr="00D25CB4">
        <w:tc>
          <w:tcPr>
            <w:tcW w:w="4786" w:type="dxa"/>
          </w:tcPr>
          <w:p w14:paraId="3AA62920" w14:textId="77777777" w:rsidR="00523D82" w:rsidRPr="00EE5F5F"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13849110" w14:textId="77777777" w:rsidR="00523D82" w:rsidRPr="00EE5F5F"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5FBDC8FC" w14:textId="77777777" w:rsidR="00523D82" w:rsidRPr="00EE5F5F"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0256C30B" w14:textId="77777777" w:rsidR="00D76048" w:rsidRPr="00EE5F5F" w:rsidRDefault="00506C9D" w:rsidP="002516CD">
      <w:pPr>
        <w:autoSpaceDE w:val="0"/>
        <w:autoSpaceDN w:val="0"/>
        <w:spacing w:after="0" w:line="240" w:lineRule="auto"/>
        <w:jc w:val="center"/>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ОБЩАЯ ХАРАКТЕРИСТИКА ЛЕКАРСТВЕННОГО ПРЕПАРАТА</w:t>
      </w:r>
    </w:p>
    <w:p w14:paraId="55853258" w14:textId="77777777" w:rsidR="00372082" w:rsidRPr="00EE5F5F"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71E94065" w14:textId="77777777" w:rsidR="00280121" w:rsidRPr="00EE5F5F"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 xml:space="preserve">1. </w:t>
      </w:r>
      <w:r w:rsidR="00280121" w:rsidRPr="00EE5F5F">
        <w:rPr>
          <w:rFonts w:ascii="Times New Roman" w:eastAsia="Times New Roman" w:hAnsi="Times New Roman" w:hint="eastAsia"/>
          <w:b/>
          <w:sz w:val="24"/>
          <w:szCs w:val="24"/>
          <w:lang w:eastAsia="ru-RU"/>
        </w:rPr>
        <w:t>НАИМЕНОВАНИЕ</w:t>
      </w:r>
      <w:r w:rsidR="00280121" w:rsidRPr="00EE5F5F">
        <w:rPr>
          <w:rFonts w:ascii="Times New Roman" w:eastAsia="Times New Roman" w:hAnsi="Times New Roman"/>
          <w:b/>
          <w:sz w:val="24"/>
          <w:szCs w:val="24"/>
          <w:lang w:eastAsia="ru-RU"/>
        </w:rPr>
        <w:t xml:space="preserve"> </w:t>
      </w:r>
      <w:r w:rsidR="00280121" w:rsidRPr="00EE5F5F">
        <w:rPr>
          <w:rFonts w:ascii="Times New Roman" w:eastAsia="Times New Roman" w:hAnsi="Times New Roman" w:hint="eastAsia"/>
          <w:b/>
          <w:sz w:val="24"/>
          <w:szCs w:val="24"/>
          <w:lang w:eastAsia="ru-RU"/>
        </w:rPr>
        <w:t>ЛЕКАРСТВЕННОГО</w:t>
      </w:r>
      <w:r w:rsidR="00280121" w:rsidRPr="00EE5F5F">
        <w:rPr>
          <w:rFonts w:ascii="Times New Roman" w:eastAsia="Times New Roman" w:hAnsi="Times New Roman"/>
          <w:b/>
          <w:sz w:val="24"/>
          <w:szCs w:val="24"/>
          <w:lang w:eastAsia="ru-RU"/>
        </w:rPr>
        <w:t xml:space="preserve"> </w:t>
      </w:r>
      <w:r w:rsidR="00280121" w:rsidRPr="00EE5F5F">
        <w:rPr>
          <w:rFonts w:ascii="Times New Roman" w:eastAsia="Times New Roman" w:hAnsi="Times New Roman" w:hint="eastAsia"/>
          <w:b/>
          <w:sz w:val="24"/>
          <w:szCs w:val="24"/>
          <w:lang w:eastAsia="ru-RU"/>
        </w:rPr>
        <w:t>ПРЕПАРАТА</w:t>
      </w:r>
    </w:p>
    <w:p w14:paraId="1C585F26" w14:textId="77777777" w:rsidR="001872CE" w:rsidRPr="00EE5F5F" w:rsidRDefault="00854254" w:rsidP="0078568D">
      <w:pPr>
        <w:autoSpaceDE w:val="0"/>
        <w:autoSpaceDN w:val="0"/>
        <w:spacing w:after="0" w:line="240" w:lineRule="auto"/>
        <w:jc w:val="both"/>
        <w:rPr>
          <w:rFonts w:ascii="Times New Roman" w:eastAsia="Times New Roman" w:hAnsi="Times New Roman"/>
          <w:sz w:val="24"/>
          <w:szCs w:val="24"/>
          <w:lang w:eastAsia="ru-RU"/>
        </w:rPr>
      </w:pPr>
      <w:r w:rsidRPr="00EE5F5F">
        <w:rPr>
          <w:rFonts w:ascii="Times New Roman" w:eastAsia="Times New Roman" w:hAnsi="Times New Roman"/>
          <w:sz w:val="24"/>
          <w:szCs w:val="24"/>
          <w:lang w:eastAsia="ru-RU"/>
        </w:rPr>
        <w:t>Касфоцин</w:t>
      </w:r>
      <w:r w:rsidR="007C7235" w:rsidRPr="00EE5F5F">
        <w:rPr>
          <w:rFonts w:ascii="Times New Roman" w:eastAsia="Times New Roman" w:hAnsi="Times New Roman"/>
          <w:sz w:val="24"/>
          <w:szCs w:val="24"/>
          <w:lang w:eastAsia="ru-RU"/>
        </w:rPr>
        <w:t>,</w:t>
      </w:r>
      <w:r w:rsidR="006A54D2">
        <w:rPr>
          <w:rFonts w:ascii="Times New Roman" w:eastAsia="Times New Roman" w:hAnsi="Times New Roman"/>
          <w:sz w:val="24"/>
          <w:szCs w:val="24"/>
          <w:lang w:eastAsia="ru-RU"/>
        </w:rPr>
        <w:t xml:space="preserve"> </w:t>
      </w:r>
      <w:r w:rsidR="007C7235" w:rsidRPr="00EE5F5F">
        <w:rPr>
          <w:rFonts w:ascii="Times New Roman" w:eastAsia="Times New Roman" w:hAnsi="Times New Roman"/>
          <w:sz w:val="24"/>
          <w:szCs w:val="24"/>
          <w:lang w:eastAsia="ru-RU"/>
        </w:rPr>
        <w:t>лиофилизат для приготовления концентрата, предназначенного для получения раствора для инфузий, 50 мг</w:t>
      </w:r>
    </w:p>
    <w:p w14:paraId="05470369" w14:textId="77777777" w:rsidR="00B01011" w:rsidRPr="00EE5F5F" w:rsidRDefault="00B01011" w:rsidP="0078568D">
      <w:pPr>
        <w:autoSpaceDE w:val="0"/>
        <w:autoSpaceDN w:val="0"/>
        <w:spacing w:after="0" w:line="240" w:lineRule="auto"/>
        <w:jc w:val="both"/>
        <w:rPr>
          <w:rFonts w:ascii="Times New Roman" w:eastAsia="Times New Roman" w:hAnsi="Times New Roman"/>
          <w:sz w:val="24"/>
          <w:szCs w:val="24"/>
          <w:highlight w:val="cyan"/>
          <w:lang w:eastAsia="ru-RU"/>
        </w:rPr>
      </w:pPr>
    </w:p>
    <w:p w14:paraId="105A7504" w14:textId="77777777" w:rsidR="003C07E3" w:rsidRPr="00EE5F5F" w:rsidRDefault="003C07E3" w:rsidP="0078568D">
      <w:pPr>
        <w:spacing w:after="0" w:line="240" w:lineRule="auto"/>
        <w:jc w:val="both"/>
        <w:rPr>
          <w:sz w:val="24"/>
          <w:szCs w:val="24"/>
        </w:rPr>
      </w:pPr>
      <w:bookmarkStart w:id="0" w:name="2175220285"/>
      <w:bookmarkStart w:id="1" w:name="OCRUncertain022"/>
      <w:r w:rsidRPr="00EE5F5F">
        <w:rPr>
          <w:rFonts w:ascii="Times New Roman" w:eastAsia="Times New Roman" w:hAnsi="Times New Roman"/>
          <w:b/>
          <w:sz w:val="24"/>
          <w:szCs w:val="24"/>
          <w:lang w:eastAsia="ru-RU"/>
        </w:rPr>
        <w:t xml:space="preserve">2. </w:t>
      </w:r>
      <w:r w:rsidR="00280121" w:rsidRPr="00EE5F5F">
        <w:rPr>
          <w:rFonts w:ascii="Times New Roman" w:eastAsia="Times New Roman" w:hAnsi="Times New Roman"/>
          <w:b/>
          <w:sz w:val="24"/>
          <w:szCs w:val="24"/>
          <w:lang w:eastAsia="ru-RU"/>
        </w:rPr>
        <w:t>КАЧЕСТВЕННЫЙ И КОЛИЧЕСТВЕННЫЙ СОСТАВ</w:t>
      </w:r>
    </w:p>
    <w:bookmarkEnd w:id="0"/>
    <w:p w14:paraId="7947D1D2" w14:textId="77777777" w:rsidR="001872CE" w:rsidRPr="00885A91"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highlight w:val="cyan"/>
          <w:lang w:eastAsia="ru-RU"/>
        </w:rPr>
      </w:pPr>
      <w:r w:rsidRPr="00885A91">
        <w:rPr>
          <w:rFonts w:ascii="Times New Roman" w:eastAsia="TimesNewRomanPSMT" w:hAnsi="Times New Roman"/>
          <w:b/>
          <w:bCs/>
          <w:sz w:val="24"/>
          <w:szCs w:val="24"/>
          <w:lang w:eastAsia="ru-RU"/>
        </w:rPr>
        <w:t>2.1 Общее описание</w:t>
      </w:r>
      <w:r w:rsidRPr="00885A91">
        <w:rPr>
          <w:rFonts w:ascii="Times New Roman" w:eastAsia="Times New Roman" w:hAnsi="Times New Roman"/>
          <w:b/>
          <w:bCs/>
          <w:sz w:val="24"/>
          <w:szCs w:val="24"/>
          <w:lang w:eastAsia="ru-RU"/>
        </w:rPr>
        <w:t xml:space="preserve"> </w:t>
      </w:r>
    </w:p>
    <w:p w14:paraId="53496E68" w14:textId="77777777" w:rsidR="00547209" w:rsidRPr="00EE5F5F" w:rsidRDefault="00547209" w:rsidP="0078568D">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r w:rsidRPr="00EE5F5F">
        <w:rPr>
          <w:rFonts w:ascii="Times New Roman" w:eastAsia="Times New Roman" w:hAnsi="Times New Roman"/>
          <w:bCs/>
          <w:sz w:val="24"/>
          <w:szCs w:val="24"/>
          <w:lang w:eastAsia="ru-RU"/>
        </w:rPr>
        <w:t>Каспофунгин</w:t>
      </w:r>
    </w:p>
    <w:p w14:paraId="431D7535" w14:textId="77777777" w:rsidR="00D60C5A" w:rsidRPr="00885A91" w:rsidRDefault="00D60C5A" w:rsidP="0078568D">
      <w:pPr>
        <w:widowControl w:val="0"/>
        <w:autoSpaceDE w:val="0"/>
        <w:autoSpaceDN w:val="0"/>
        <w:spacing w:after="0" w:line="240" w:lineRule="auto"/>
        <w:ind w:left="2977" w:hanging="2977"/>
        <w:jc w:val="both"/>
        <w:rPr>
          <w:rFonts w:ascii="Times New Roman" w:eastAsia="TimesNewRomanPSMT" w:hAnsi="Times New Roman"/>
          <w:b/>
          <w:bCs/>
          <w:sz w:val="24"/>
          <w:szCs w:val="24"/>
          <w:lang w:eastAsia="ru-RU"/>
        </w:rPr>
      </w:pPr>
      <w:r w:rsidRPr="00885A91">
        <w:rPr>
          <w:rFonts w:ascii="Times New Roman" w:eastAsia="TimesNewRomanPSMT" w:hAnsi="Times New Roman"/>
          <w:b/>
          <w:bCs/>
          <w:sz w:val="24"/>
          <w:szCs w:val="24"/>
          <w:lang w:eastAsia="ru-RU"/>
        </w:rPr>
        <w:t>2.2 Качественный и количественный состав</w:t>
      </w:r>
    </w:p>
    <w:p w14:paraId="5C263B88" w14:textId="77777777" w:rsidR="00A074C5" w:rsidRPr="00EE5F5F" w:rsidRDefault="00A074C5" w:rsidP="0078568D">
      <w:pPr>
        <w:widowControl w:val="0"/>
        <w:autoSpaceDE w:val="0"/>
        <w:autoSpaceDN w:val="0"/>
        <w:spacing w:after="0" w:line="240" w:lineRule="auto"/>
        <w:jc w:val="both"/>
        <w:rPr>
          <w:rFonts w:ascii="Times New Roman" w:eastAsia="Times New Roman" w:hAnsi="Times New Roman"/>
          <w:bCs/>
          <w:sz w:val="24"/>
          <w:szCs w:val="24"/>
          <w:lang w:eastAsia="ru-RU"/>
        </w:rPr>
      </w:pPr>
      <w:r w:rsidRPr="00EE5F5F">
        <w:rPr>
          <w:rFonts w:ascii="Times New Roman" w:eastAsia="Times New Roman" w:hAnsi="Times New Roman"/>
          <w:bCs/>
          <w:sz w:val="24"/>
          <w:szCs w:val="24"/>
          <w:lang w:eastAsia="ru-RU"/>
        </w:rPr>
        <w:t>Од</w:t>
      </w:r>
      <w:r w:rsidR="00C417AB" w:rsidRPr="00EE5F5F">
        <w:rPr>
          <w:rFonts w:ascii="Times New Roman" w:eastAsia="Times New Roman" w:hAnsi="Times New Roman"/>
          <w:bCs/>
          <w:sz w:val="24"/>
          <w:szCs w:val="24"/>
          <w:lang w:eastAsia="ru-RU"/>
        </w:rPr>
        <w:t>ин флакон содержит:</w:t>
      </w:r>
    </w:p>
    <w:p w14:paraId="41C6C2F9" w14:textId="77777777" w:rsidR="00A074C5" w:rsidRPr="00EE5F5F" w:rsidRDefault="00A074C5" w:rsidP="00C417AB">
      <w:pPr>
        <w:widowControl w:val="0"/>
        <w:autoSpaceDE w:val="0"/>
        <w:autoSpaceDN w:val="0"/>
        <w:spacing w:after="0" w:line="240" w:lineRule="auto"/>
        <w:jc w:val="both"/>
        <w:rPr>
          <w:rFonts w:ascii="Times New Roman" w:eastAsia="Times New Roman" w:hAnsi="Times New Roman"/>
          <w:bCs/>
          <w:sz w:val="24"/>
          <w:szCs w:val="24"/>
          <w:lang w:eastAsia="ru-RU"/>
        </w:rPr>
      </w:pPr>
      <w:r w:rsidRPr="00EE5F5F">
        <w:rPr>
          <w:rFonts w:ascii="Times New Roman" w:eastAsia="Times New Roman" w:hAnsi="Times New Roman"/>
          <w:bCs/>
          <w:i/>
          <w:sz w:val="24"/>
          <w:szCs w:val="24"/>
          <w:lang w:eastAsia="ru-RU"/>
        </w:rPr>
        <w:t xml:space="preserve">активное вещество - </w:t>
      </w:r>
      <w:r w:rsidR="00C417AB" w:rsidRPr="00EE5F5F">
        <w:rPr>
          <w:rFonts w:ascii="Times New Roman" w:eastAsia="Times New Roman" w:hAnsi="Times New Roman"/>
          <w:bCs/>
          <w:sz w:val="24"/>
          <w:szCs w:val="24"/>
          <w:lang w:eastAsia="ru-RU"/>
        </w:rPr>
        <w:t>каспофунгина ацетат</w:t>
      </w:r>
      <w:r w:rsidR="00D10BC6">
        <w:rPr>
          <w:rFonts w:ascii="Times New Roman" w:eastAsia="Times New Roman" w:hAnsi="Times New Roman"/>
          <w:bCs/>
          <w:sz w:val="24"/>
          <w:szCs w:val="24"/>
          <w:lang w:eastAsia="ru-RU"/>
        </w:rPr>
        <w:t xml:space="preserve"> </w:t>
      </w:r>
      <w:r w:rsidR="00C417AB" w:rsidRPr="00EE5F5F">
        <w:rPr>
          <w:rFonts w:ascii="Times New Roman" w:eastAsia="Times New Roman" w:hAnsi="Times New Roman"/>
          <w:bCs/>
          <w:sz w:val="24"/>
          <w:szCs w:val="24"/>
          <w:lang w:eastAsia="ru-RU"/>
        </w:rPr>
        <w:t>эквивалентно каспофунгину 50.0 мг;</w:t>
      </w:r>
    </w:p>
    <w:p w14:paraId="013299E3" w14:textId="77777777" w:rsidR="00233CCA" w:rsidRDefault="00233CCA" w:rsidP="0078568D">
      <w:pPr>
        <w:autoSpaceDE w:val="0"/>
        <w:autoSpaceDN w:val="0"/>
        <w:adjustRightInd w:val="0"/>
        <w:spacing w:after="0" w:line="240" w:lineRule="auto"/>
        <w:rPr>
          <w:rFonts w:ascii="Times New Roman" w:hAnsi="Times New Roman"/>
          <w:iCs/>
          <w:sz w:val="24"/>
          <w:szCs w:val="24"/>
          <w:lang w:eastAsia="ru-RU"/>
        </w:rPr>
      </w:pPr>
      <w:r w:rsidRPr="00233CCA">
        <w:rPr>
          <w:rFonts w:ascii="Times New Roman" w:hAnsi="Times New Roman"/>
          <w:iCs/>
          <w:sz w:val="24"/>
          <w:szCs w:val="24"/>
          <w:lang w:eastAsia="ru-RU"/>
        </w:rPr>
        <w:t xml:space="preserve">Вспомогательные вещества, наличие которых надо учитывать в составе лекарственного препарата: </w:t>
      </w:r>
      <w:r>
        <w:rPr>
          <w:rFonts w:ascii="Times New Roman" w:hAnsi="Times New Roman"/>
          <w:iCs/>
          <w:sz w:val="24"/>
          <w:szCs w:val="24"/>
          <w:lang w:eastAsia="ru-RU"/>
        </w:rPr>
        <w:t>маннитол</w:t>
      </w:r>
      <w:r w:rsidR="00684222">
        <w:rPr>
          <w:rFonts w:ascii="Times New Roman" w:hAnsi="Times New Roman"/>
          <w:iCs/>
          <w:sz w:val="24"/>
          <w:szCs w:val="24"/>
          <w:lang w:eastAsia="ru-RU"/>
        </w:rPr>
        <w:t xml:space="preserve"> 23.8 мг</w:t>
      </w:r>
      <w:r w:rsidRPr="00233CCA">
        <w:rPr>
          <w:rFonts w:ascii="Times New Roman" w:hAnsi="Times New Roman"/>
          <w:iCs/>
          <w:sz w:val="24"/>
          <w:szCs w:val="24"/>
          <w:lang w:eastAsia="ru-RU"/>
        </w:rPr>
        <w:t xml:space="preserve">, </w:t>
      </w:r>
      <w:bookmarkStart w:id="2" w:name="_Hlk121299611"/>
      <w:r w:rsidRPr="00233CCA">
        <w:rPr>
          <w:rFonts w:ascii="Times New Roman" w:hAnsi="Times New Roman"/>
          <w:iCs/>
          <w:sz w:val="24"/>
          <w:szCs w:val="24"/>
          <w:lang w:eastAsia="ru-RU"/>
        </w:rPr>
        <w:t xml:space="preserve">натрия </w:t>
      </w:r>
      <w:r>
        <w:rPr>
          <w:rFonts w:ascii="Times New Roman" w:hAnsi="Times New Roman"/>
          <w:iCs/>
          <w:sz w:val="24"/>
          <w:szCs w:val="24"/>
          <w:lang w:eastAsia="ru-RU"/>
        </w:rPr>
        <w:t>гидроксид</w:t>
      </w:r>
      <w:r w:rsidR="00684222">
        <w:rPr>
          <w:rFonts w:ascii="Times New Roman" w:hAnsi="Times New Roman"/>
          <w:iCs/>
          <w:sz w:val="24"/>
          <w:szCs w:val="24"/>
          <w:lang w:eastAsia="ru-RU"/>
        </w:rPr>
        <w:t xml:space="preserve"> 0-0.16 мл</w:t>
      </w:r>
      <w:r w:rsidRPr="00233CCA">
        <w:rPr>
          <w:rFonts w:ascii="Times New Roman" w:hAnsi="Times New Roman"/>
          <w:iCs/>
          <w:sz w:val="24"/>
          <w:szCs w:val="24"/>
          <w:lang w:eastAsia="ru-RU"/>
        </w:rPr>
        <w:t>.</w:t>
      </w:r>
      <w:bookmarkEnd w:id="2"/>
    </w:p>
    <w:p w14:paraId="0D463B43" w14:textId="77777777" w:rsidR="003C07E3" w:rsidRPr="00EE5F5F" w:rsidRDefault="00E75FFF" w:rsidP="0078568D">
      <w:pPr>
        <w:autoSpaceDE w:val="0"/>
        <w:autoSpaceDN w:val="0"/>
        <w:adjustRightInd w:val="0"/>
        <w:spacing w:after="0" w:line="240" w:lineRule="auto"/>
        <w:rPr>
          <w:rFonts w:ascii="Times New Roman" w:eastAsia="Times New Roman" w:hAnsi="Times New Roman"/>
          <w:bCs/>
          <w:snapToGrid w:val="0"/>
          <w:sz w:val="24"/>
          <w:szCs w:val="24"/>
          <w:lang w:eastAsia="ru-RU"/>
        </w:rPr>
      </w:pPr>
      <w:r w:rsidRPr="00EE5F5F">
        <w:rPr>
          <w:rFonts w:ascii="Times New Roman" w:hAnsi="Times New Roman"/>
          <w:iCs/>
          <w:sz w:val="24"/>
          <w:szCs w:val="24"/>
          <w:lang w:eastAsia="ru-RU"/>
        </w:rPr>
        <w:t>Полный список вспомогательных веществ см. в пункте 6.1</w:t>
      </w:r>
      <w:r w:rsidRPr="00EE5F5F">
        <w:rPr>
          <w:rFonts w:ascii="Times New Roman" w:hAnsi="Times New Roman"/>
          <w:sz w:val="24"/>
          <w:szCs w:val="24"/>
          <w:lang w:eastAsia="ru-RU"/>
        </w:rPr>
        <w:t>.</w:t>
      </w:r>
    </w:p>
    <w:p w14:paraId="5A5C29BE" w14:textId="77777777" w:rsidR="00233CCA" w:rsidRDefault="00233CCA" w:rsidP="0078568D">
      <w:pPr>
        <w:spacing w:after="0" w:line="240" w:lineRule="auto"/>
        <w:jc w:val="both"/>
        <w:rPr>
          <w:rFonts w:ascii="Times New Roman" w:eastAsia="Times New Roman" w:hAnsi="Times New Roman"/>
          <w:b/>
          <w:sz w:val="24"/>
          <w:szCs w:val="24"/>
          <w:lang w:eastAsia="ru-RU"/>
        </w:rPr>
      </w:pPr>
      <w:bookmarkStart w:id="3" w:name="2175220286"/>
    </w:p>
    <w:p w14:paraId="1CBA5067" w14:textId="77777777" w:rsidR="00B7231F" w:rsidRPr="00EE5F5F" w:rsidRDefault="00B7231F" w:rsidP="0078568D">
      <w:pPr>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 xml:space="preserve">3. </w:t>
      </w:r>
      <w:r w:rsidR="00280121" w:rsidRPr="00EE5F5F">
        <w:rPr>
          <w:rFonts w:ascii="Times New Roman" w:eastAsia="Times New Roman" w:hAnsi="Times New Roman"/>
          <w:b/>
          <w:sz w:val="24"/>
          <w:szCs w:val="24"/>
          <w:lang w:eastAsia="ru-RU"/>
        </w:rPr>
        <w:t>ЛЕКАРСТВЕННАЯ ФОРМА</w:t>
      </w:r>
    </w:p>
    <w:bookmarkEnd w:id="3"/>
    <w:p w14:paraId="32AB50A4" w14:textId="77777777" w:rsidR="007C7235" w:rsidRPr="00EE5F5F" w:rsidRDefault="007C7235" w:rsidP="0078568D">
      <w:pPr>
        <w:pStyle w:val="Default"/>
        <w:jc w:val="both"/>
        <w:rPr>
          <w:spacing w:val="-4"/>
        </w:rPr>
      </w:pPr>
      <w:r w:rsidRPr="00EE5F5F">
        <w:rPr>
          <w:spacing w:val="-4"/>
        </w:rPr>
        <w:t>Лиофилизат для приготовления концентрата, предназначенного для получения раствора для инфузий.</w:t>
      </w:r>
    </w:p>
    <w:p w14:paraId="71417985" w14:textId="77777777" w:rsidR="00B7231F" w:rsidRPr="00EE5F5F" w:rsidRDefault="007C7235" w:rsidP="0078568D">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EE5F5F">
        <w:rPr>
          <w:rFonts w:ascii="Times New Roman" w:eastAsia="Times New Roman" w:hAnsi="Times New Roman"/>
          <w:color w:val="000000"/>
          <w:spacing w:val="-4"/>
          <w:sz w:val="24"/>
          <w:szCs w:val="24"/>
          <w:lang w:eastAsia="hu-HU"/>
        </w:rPr>
        <w:t>От белого до почти белого цвета лиофилизированная лепешка или порошок.</w:t>
      </w:r>
    </w:p>
    <w:p w14:paraId="77DFCA44" w14:textId="77777777" w:rsidR="007C7235" w:rsidRPr="00EE5F5F" w:rsidRDefault="007C7235" w:rsidP="0078568D">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5F5F82B8" w14:textId="77777777" w:rsidR="002C1660" w:rsidRPr="00EE5F5F" w:rsidRDefault="00B7231F" w:rsidP="0078568D">
      <w:pPr>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4</w:t>
      </w:r>
      <w:r w:rsidR="00DB406A" w:rsidRPr="00EE5F5F">
        <w:rPr>
          <w:rFonts w:ascii="Times New Roman" w:eastAsia="Times New Roman" w:hAnsi="Times New Roman"/>
          <w:b/>
          <w:sz w:val="24"/>
          <w:szCs w:val="24"/>
          <w:lang w:eastAsia="ru-RU"/>
        </w:rPr>
        <w:t xml:space="preserve">. </w:t>
      </w:r>
      <w:bookmarkEnd w:id="1"/>
      <w:r w:rsidR="00384EFD" w:rsidRPr="00EE5F5F">
        <w:rPr>
          <w:rFonts w:ascii="Times New Roman" w:eastAsia="Times New Roman" w:hAnsi="Times New Roman"/>
          <w:b/>
          <w:sz w:val="24"/>
          <w:szCs w:val="24"/>
          <w:lang w:eastAsia="ru-RU"/>
        </w:rPr>
        <w:t>КЛИНИЧЕСКИЕ ДАННЫЕ</w:t>
      </w:r>
    </w:p>
    <w:p w14:paraId="6E26BBF6" w14:textId="77777777" w:rsidR="005444B2" w:rsidRPr="00EE5F5F"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EE5F5F">
        <w:rPr>
          <w:rFonts w:ascii="Times New Roman" w:eastAsia="Times New Roman" w:hAnsi="Times New Roman"/>
          <w:b/>
          <w:bCs/>
          <w:sz w:val="24"/>
          <w:szCs w:val="24"/>
          <w:lang w:eastAsia="ru-RU"/>
        </w:rPr>
        <w:t>4</w:t>
      </w:r>
      <w:r w:rsidR="00DB406A" w:rsidRPr="00EE5F5F">
        <w:rPr>
          <w:rFonts w:ascii="Times New Roman" w:eastAsia="Times New Roman" w:hAnsi="Times New Roman"/>
          <w:b/>
          <w:bCs/>
          <w:sz w:val="24"/>
          <w:szCs w:val="24"/>
          <w:lang w:eastAsia="ru-RU"/>
        </w:rPr>
        <w:t>.</w:t>
      </w:r>
      <w:r w:rsidRPr="00EE5F5F">
        <w:rPr>
          <w:rFonts w:ascii="Times New Roman" w:eastAsia="Times New Roman" w:hAnsi="Times New Roman"/>
          <w:b/>
          <w:bCs/>
          <w:sz w:val="24"/>
          <w:szCs w:val="24"/>
          <w:lang w:eastAsia="ru-RU"/>
        </w:rPr>
        <w:t>1</w:t>
      </w:r>
      <w:r w:rsidR="00DB406A" w:rsidRPr="00EE5F5F">
        <w:rPr>
          <w:rFonts w:ascii="Times New Roman" w:eastAsia="Times New Roman" w:hAnsi="Times New Roman"/>
          <w:b/>
          <w:bCs/>
          <w:sz w:val="24"/>
          <w:szCs w:val="24"/>
          <w:lang w:eastAsia="ru-RU"/>
        </w:rPr>
        <w:t xml:space="preserve"> </w:t>
      </w:r>
      <w:r w:rsidR="005444B2" w:rsidRPr="00EE5F5F">
        <w:rPr>
          <w:rFonts w:ascii="Times New Roman" w:eastAsia="Times New Roman" w:hAnsi="Times New Roman"/>
          <w:b/>
          <w:bCs/>
          <w:sz w:val="24"/>
          <w:szCs w:val="24"/>
          <w:lang w:eastAsia="ru-RU"/>
        </w:rPr>
        <w:t>Показания к применению</w:t>
      </w:r>
    </w:p>
    <w:p w14:paraId="5F05B484" w14:textId="77777777" w:rsidR="00427BDD" w:rsidRPr="00EE5F5F" w:rsidRDefault="00427BDD" w:rsidP="00427BDD">
      <w:pPr>
        <w:tabs>
          <w:tab w:val="left" w:pos="8931"/>
        </w:tabs>
        <w:spacing w:after="0" w:line="240" w:lineRule="auto"/>
        <w:jc w:val="both"/>
        <w:rPr>
          <w:rFonts w:ascii="Times New Roman" w:hAnsi="Times New Roman"/>
          <w:sz w:val="24"/>
          <w:szCs w:val="24"/>
        </w:rPr>
      </w:pPr>
      <w:r w:rsidRPr="00EE5F5F">
        <w:rPr>
          <w:rFonts w:ascii="Times New Roman" w:hAnsi="Times New Roman"/>
          <w:sz w:val="24"/>
          <w:szCs w:val="24"/>
        </w:rPr>
        <w:t>-  лечение инвазивного кандидоза у взрослых и детей</w:t>
      </w:r>
    </w:p>
    <w:p w14:paraId="78EB185F" w14:textId="77777777" w:rsidR="00427BDD" w:rsidRPr="00EE5F5F" w:rsidRDefault="00427BDD" w:rsidP="00427BDD">
      <w:pPr>
        <w:tabs>
          <w:tab w:val="left" w:pos="8931"/>
        </w:tabs>
        <w:spacing w:after="0" w:line="240" w:lineRule="auto"/>
        <w:jc w:val="both"/>
        <w:rPr>
          <w:rFonts w:ascii="Times New Roman" w:hAnsi="Times New Roman"/>
          <w:sz w:val="24"/>
          <w:szCs w:val="24"/>
        </w:rPr>
      </w:pPr>
      <w:r w:rsidRPr="00EE5F5F">
        <w:rPr>
          <w:rFonts w:ascii="Times New Roman" w:hAnsi="Times New Roman"/>
          <w:sz w:val="24"/>
          <w:szCs w:val="24"/>
        </w:rPr>
        <w:t>- лечение инвазивного аспергиллеза у взрослых и детей с резистентностью или непереносимостью амфотерицина B, липидных форм амфотерицина B и/или итраконазола. Резистентность определяется как прогрессирование инфекции или отсутствие улучшения после как минимум 7 дней предшествующей противогрибковой терапии в эффективных терапевтических дозах</w:t>
      </w:r>
    </w:p>
    <w:p w14:paraId="6E12EE58" w14:textId="77777777" w:rsidR="00427BDD" w:rsidRPr="00EE5F5F" w:rsidRDefault="00427BDD" w:rsidP="00427BDD">
      <w:pPr>
        <w:tabs>
          <w:tab w:val="left" w:pos="8931"/>
        </w:tabs>
        <w:spacing w:after="0" w:line="240" w:lineRule="auto"/>
        <w:jc w:val="both"/>
        <w:rPr>
          <w:rFonts w:ascii="Times New Roman" w:hAnsi="Times New Roman"/>
          <w:sz w:val="24"/>
          <w:szCs w:val="24"/>
        </w:rPr>
      </w:pPr>
      <w:r w:rsidRPr="00EE5F5F">
        <w:rPr>
          <w:rFonts w:ascii="Times New Roman" w:hAnsi="Times New Roman"/>
          <w:sz w:val="24"/>
          <w:szCs w:val="24"/>
        </w:rPr>
        <w:t xml:space="preserve">- эмпирическая терапия при подозрении грибковых инфекций (таких как </w:t>
      </w:r>
      <w:r w:rsidRPr="00EE5F5F">
        <w:rPr>
          <w:rFonts w:ascii="Times New Roman" w:hAnsi="Times New Roman"/>
          <w:i/>
          <w:iCs/>
          <w:sz w:val="24"/>
          <w:szCs w:val="24"/>
        </w:rPr>
        <w:t>Candida</w:t>
      </w:r>
      <w:r w:rsidRPr="00EE5F5F">
        <w:rPr>
          <w:rFonts w:ascii="Times New Roman" w:hAnsi="Times New Roman"/>
          <w:sz w:val="24"/>
          <w:szCs w:val="24"/>
        </w:rPr>
        <w:t xml:space="preserve"> или </w:t>
      </w:r>
      <w:r w:rsidRPr="00EE5F5F">
        <w:rPr>
          <w:rFonts w:ascii="Times New Roman" w:hAnsi="Times New Roman"/>
          <w:i/>
          <w:iCs/>
          <w:sz w:val="24"/>
          <w:szCs w:val="24"/>
        </w:rPr>
        <w:t>Aspergillus</w:t>
      </w:r>
      <w:r w:rsidRPr="00EE5F5F">
        <w:rPr>
          <w:rFonts w:ascii="Times New Roman" w:hAnsi="Times New Roman"/>
          <w:sz w:val="24"/>
          <w:szCs w:val="24"/>
        </w:rPr>
        <w:t>) у взрослых или детей с фебрильной нейтропенией</w:t>
      </w:r>
    </w:p>
    <w:p w14:paraId="674E8D4B" w14:textId="77777777" w:rsidR="005444B2" w:rsidRPr="00EE5F5F" w:rsidRDefault="00832A7E" w:rsidP="00427BDD">
      <w:pPr>
        <w:tabs>
          <w:tab w:val="left" w:pos="8931"/>
        </w:tabs>
        <w:spacing w:after="0" w:line="240" w:lineRule="auto"/>
        <w:jc w:val="both"/>
        <w:rPr>
          <w:rFonts w:ascii="Times New Roman" w:hAnsi="Times New Roman"/>
          <w:sz w:val="24"/>
          <w:szCs w:val="24"/>
        </w:rPr>
      </w:pPr>
      <w:r w:rsidRPr="00EE5F5F">
        <w:rPr>
          <w:rFonts w:ascii="Times New Roman" w:hAnsi="Times New Roman"/>
          <w:sz w:val="24"/>
          <w:szCs w:val="24"/>
        </w:rPr>
        <w:t xml:space="preserve"> </w:t>
      </w:r>
    </w:p>
    <w:p w14:paraId="4B8F62AB" w14:textId="77777777" w:rsidR="00B7231F" w:rsidRPr="00EE5F5F" w:rsidRDefault="00B7231F" w:rsidP="0078568D">
      <w:pPr>
        <w:spacing w:after="0" w:line="240" w:lineRule="auto"/>
        <w:jc w:val="both"/>
        <w:rPr>
          <w:rFonts w:ascii="Times New Roman" w:eastAsia="Times New Roman" w:hAnsi="Times New Roman"/>
          <w:b/>
          <w:sz w:val="24"/>
          <w:szCs w:val="24"/>
          <w:lang w:eastAsia="ru-RU"/>
        </w:rPr>
      </w:pPr>
      <w:bookmarkStart w:id="4" w:name="2175220274"/>
      <w:r w:rsidRPr="00EE5F5F">
        <w:rPr>
          <w:rFonts w:ascii="Times New Roman" w:eastAsia="Times New Roman" w:hAnsi="Times New Roman"/>
          <w:b/>
          <w:sz w:val="24"/>
          <w:szCs w:val="24"/>
          <w:lang w:eastAsia="ru-RU"/>
        </w:rPr>
        <w:t>4.2 Режим дозирования и способ применения</w:t>
      </w:r>
    </w:p>
    <w:p w14:paraId="56C90D97" w14:textId="77777777" w:rsidR="00891EB8" w:rsidRPr="00EE5F5F" w:rsidRDefault="00B7231F" w:rsidP="0078568D">
      <w:pPr>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 xml:space="preserve">Режим дозирования </w:t>
      </w:r>
    </w:p>
    <w:p w14:paraId="7A1B4107" w14:textId="77777777"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sz w:val="24"/>
          <w:szCs w:val="24"/>
        </w:rPr>
        <w:t xml:space="preserve">Касфоцин должен назначать терапевт, имеющий опыт лечения инвазивных грибковых инфекций. </w:t>
      </w:r>
    </w:p>
    <w:p w14:paraId="029AAE52" w14:textId="77777777"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i/>
          <w:sz w:val="24"/>
          <w:szCs w:val="24"/>
        </w:rPr>
        <w:t>Взрослые пациенты</w:t>
      </w:r>
    </w:p>
    <w:p w14:paraId="031E2E2C" w14:textId="77777777"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sz w:val="24"/>
          <w:szCs w:val="24"/>
        </w:rPr>
        <w:t>В 1</w:t>
      </w:r>
      <w:r w:rsidRPr="00EE5F5F">
        <w:rPr>
          <w:rFonts w:ascii="Times New Roman" w:hAnsi="Times New Roman"/>
          <w:sz w:val="24"/>
          <w:szCs w:val="24"/>
          <w:vertAlign w:val="superscript"/>
        </w:rPr>
        <w:t>ый</w:t>
      </w:r>
      <w:r w:rsidRPr="00EE5F5F">
        <w:rPr>
          <w:rFonts w:ascii="Times New Roman" w:hAnsi="Times New Roman"/>
          <w:sz w:val="24"/>
          <w:szCs w:val="24"/>
        </w:rPr>
        <w:t xml:space="preserve"> день следует ввести однократную нагрузочную дозу 70 мг, затем вводят по 50 мг в день. Пациентам весом более 80 кг после начальной нагрузочной дозы 70 мг рекомендуется вводить по 70 мг Касфоцина в день. Коррекция дозы в зависимости от пола или расы не требуется.</w:t>
      </w:r>
    </w:p>
    <w:p w14:paraId="37DE122C" w14:textId="77777777"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i/>
          <w:sz w:val="24"/>
          <w:szCs w:val="24"/>
        </w:rPr>
        <w:t>Дети (от 12 месяцев до 17 лет)</w:t>
      </w:r>
    </w:p>
    <w:p w14:paraId="5D6BF7B2" w14:textId="77777777"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sz w:val="24"/>
          <w:szCs w:val="24"/>
        </w:rPr>
        <w:lastRenderedPageBreak/>
        <w:t>У детей (от 12 месяцев до 17 лет) доза рассчитывается в зависимости от площади поверхности тела пациента (по формуле Мостеллера). По всем показаниям в  1</w:t>
      </w:r>
      <w:r w:rsidRPr="00EE5F5F">
        <w:rPr>
          <w:rFonts w:ascii="Times New Roman" w:hAnsi="Times New Roman"/>
          <w:sz w:val="24"/>
          <w:szCs w:val="24"/>
          <w:vertAlign w:val="superscript"/>
        </w:rPr>
        <w:t>ый</w:t>
      </w:r>
      <w:r w:rsidRPr="00EE5F5F">
        <w:rPr>
          <w:rFonts w:ascii="Times New Roman" w:hAnsi="Times New Roman"/>
          <w:sz w:val="24"/>
          <w:szCs w:val="24"/>
        </w:rPr>
        <w:t xml:space="preserve"> день вводят однократную нагрузочную дозу 70 мг/м</w:t>
      </w:r>
      <w:r w:rsidRPr="00EE5F5F">
        <w:rPr>
          <w:rFonts w:ascii="Times New Roman" w:hAnsi="Times New Roman"/>
          <w:sz w:val="24"/>
          <w:szCs w:val="24"/>
          <w:vertAlign w:val="superscript"/>
        </w:rPr>
        <w:t>2</w:t>
      </w:r>
      <w:r w:rsidRPr="00EE5F5F">
        <w:rPr>
          <w:rFonts w:ascii="Times New Roman" w:hAnsi="Times New Roman"/>
          <w:sz w:val="24"/>
          <w:szCs w:val="24"/>
        </w:rPr>
        <w:t xml:space="preserve"> (не превышать фактическую дозу 70 мг!),  затем по 50 мг/м</w:t>
      </w:r>
      <w:r w:rsidRPr="00EE5F5F">
        <w:rPr>
          <w:rFonts w:ascii="Times New Roman" w:hAnsi="Times New Roman"/>
          <w:sz w:val="24"/>
          <w:szCs w:val="24"/>
          <w:vertAlign w:val="superscript"/>
        </w:rPr>
        <w:t>2</w:t>
      </w:r>
      <w:r w:rsidRPr="00EE5F5F">
        <w:rPr>
          <w:rFonts w:ascii="Times New Roman" w:hAnsi="Times New Roman"/>
          <w:sz w:val="24"/>
          <w:szCs w:val="24"/>
        </w:rPr>
        <w:t xml:space="preserve"> ежедневно (не превышать фактическую дозу в 70 мг в день!). Если суточная доза 50 мг/м</w:t>
      </w:r>
      <w:r w:rsidRPr="00EE5F5F">
        <w:rPr>
          <w:rFonts w:ascii="Times New Roman" w:hAnsi="Times New Roman"/>
          <w:sz w:val="24"/>
          <w:szCs w:val="24"/>
          <w:vertAlign w:val="superscript"/>
        </w:rPr>
        <w:t>2</w:t>
      </w:r>
      <w:r w:rsidRPr="00EE5F5F">
        <w:rPr>
          <w:rFonts w:ascii="Times New Roman" w:hAnsi="Times New Roman"/>
          <w:sz w:val="24"/>
          <w:szCs w:val="24"/>
        </w:rPr>
        <w:t xml:space="preserve"> хорошо переносится, но не обеспечивает адекватный клинический ответ, суточная доза может быть увеличена до 70 мг/м </w:t>
      </w:r>
      <w:r w:rsidRPr="00EE5F5F">
        <w:rPr>
          <w:rFonts w:ascii="Times New Roman" w:hAnsi="Times New Roman"/>
          <w:sz w:val="24"/>
          <w:szCs w:val="24"/>
          <w:vertAlign w:val="superscript"/>
        </w:rPr>
        <w:t>2</w:t>
      </w:r>
      <w:r w:rsidRPr="00EE5F5F">
        <w:rPr>
          <w:rFonts w:ascii="Times New Roman" w:hAnsi="Times New Roman"/>
          <w:sz w:val="24"/>
          <w:szCs w:val="24"/>
        </w:rPr>
        <w:t>/день (не превышать фактическую суточную дозу 70 мг!).</w:t>
      </w:r>
    </w:p>
    <w:p w14:paraId="120A586F" w14:textId="77777777"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sz w:val="24"/>
          <w:szCs w:val="24"/>
        </w:rPr>
        <w:t>Безопасность и эффективность каспофунгина недостаточно изучены в клинических испытаниях с участием новорожденных и младенцев до</w:t>
      </w:r>
      <w:r w:rsidR="000643A9">
        <w:rPr>
          <w:rFonts w:ascii="Times New Roman" w:hAnsi="Times New Roman"/>
          <w:sz w:val="24"/>
          <w:szCs w:val="24"/>
        </w:rPr>
        <w:t xml:space="preserve"> </w:t>
      </w:r>
      <w:r w:rsidRPr="00EE5F5F">
        <w:rPr>
          <w:rFonts w:ascii="Times New Roman" w:hAnsi="Times New Roman"/>
          <w:sz w:val="24"/>
          <w:szCs w:val="24"/>
        </w:rPr>
        <w:t>12 месяцев. При лечении данной возрастной группы рекомендуется соблюдать осторожность. Ограниченные данные свидетельствуют, что для новорожденных и младенцев до 3 месяцев можно рассматривать дозу каспофунгина 25 мг/м</w:t>
      </w:r>
      <w:r w:rsidRPr="00EE5F5F">
        <w:rPr>
          <w:rFonts w:ascii="Times New Roman" w:hAnsi="Times New Roman"/>
          <w:sz w:val="24"/>
          <w:szCs w:val="24"/>
          <w:vertAlign w:val="superscript"/>
        </w:rPr>
        <w:t>2</w:t>
      </w:r>
      <w:r w:rsidRPr="00EE5F5F">
        <w:rPr>
          <w:rFonts w:ascii="Times New Roman" w:hAnsi="Times New Roman"/>
          <w:sz w:val="24"/>
          <w:szCs w:val="24"/>
        </w:rPr>
        <w:t xml:space="preserve"> в день, а для младенцев в возрасте от 3 до 11 месяцев - 50 мг/м</w:t>
      </w:r>
      <w:r w:rsidRPr="00EE5F5F">
        <w:rPr>
          <w:rFonts w:ascii="Times New Roman" w:hAnsi="Times New Roman"/>
          <w:sz w:val="24"/>
          <w:szCs w:val="24"/>
          <w:vertAlign w:val="superscript"/>
        </w:rPr>
        <w:t>2</w:t>
      </w:r>
      <w:r w:rsidRPr="00EE5F5F">
        <w:rPr>
          <w:rFonts w:ascii="Times New Roman" w:hAnsi="Times New Roman"/>
          <w:sz w:val="24"/>
          <w:szCs w:val="24"/>
        </w:rPr>
        <w:t xml:space="preserve"> в день.</w:t>
      </w:r>
    </w:p>
    <w:p w14:paraId="31EF5BF6" w14:textId="77777777" w:rsidR="00400E14" w:rsidRPr="00EE5F5F" w:rsidRDefault="00400E14" w:rsidP="00400E14">
      <w:pPr>
        <w:spacing w:after="0" w:line="240" w:lineRule="auto"/>
        <w:ind w:right="-20"/>
        <w:jc w:val="both"/>
        <w:rPr>
          <w:rFonts w:ascii="Times New Roman" w:hAnsi="Times New Roman"/>
          <w:i/>
          <w:sz w:val="24"/>
          <w:szCs w:val="24"/>
        </w:rPr>
      </w:pPr>
      <w:r w:rsidRPr="00EE5F5F">
        <w:rPr>
          <w:rFonts w:ascii="Times New Roman" w:hAnsi="Times New Roman"/>
          <w:i/>
          <w:sz w:val="24"/>
          <w:szCs w:val="24"/>
        </w:rPr>
        <w:t>Продолжительность лечения</w:t>
      </w:r>
    </w:p>
    <w:p w14:paraId="46A7CAB4" w14:textId="77777777"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sz w:val="24"/>
          <w:szCs w:val="24"/>
        </w:rPr>
        <w:t>Продолжительность эмпирической терапии должна основываться на клиническом ответе пациента. Терапия должна продолжаться до 72 часов после разрешения нейтропении (ANC≥ 500). Пациенты с подтвержденной грибковой инфекцией должны получать терапию в течение как минимум</w:t>
      </w:r>
      <w:r w:rsidR="002E5F6F" w:rsidRPr="002E5F6F">
        <w:rPr>
          <w:rFonts w:ascii="Times New Roman" w:hAnsi="Times New Roman"/>
          <w:sz w:val="24"/>
          <w:szCs w:val="24"/>
        </w:rPr>
        <w:t xml:space="preserve"> </w:t>
      </w:r>
      <w:r w:rsidRPr="00EE5F5F">
        <w:rPr>
          <w:rFonts w:ascii="Times New Roman" w:hAnsi="Times New Roman"/>
          <w:sz w:val="24"/>
          <w:szCs w:val="24"/>
        </w:rPr>
        <w:t>14 дней, и лечение следует продолжать в течение как минимум 7 дней после устранения нейтропении и клинических симптомов.</w:t>
      </w:r>
    </w:p>
    <w:p w14:paraId="2E18292B" w14:textId="77777777"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sz w:val="24"/>
          <w:szCs w:val="24"/>
        </w:rPr>
        <w:t>Продолжительность лечения инвазивного кандидоза должна основываться на клиническом и микробиологическом ответе пациента. После улучшения клинической картины инвазивного кандидоза и получения отрицательных результатов микробиологических тестов можно рассмотреть возможность перехода на пероральную противогрибковую терапию. В целом, противогрибковая терапия должна продолжаться как минимум 14 дней после последнего положительного результата высева культуры.</w:t>
      </w:r>
    </w:p>
    <w:p w14:paraId="6FF01EED" w14:textId="77777777" w:rsidR="00400E14" w:rsidRPr="00EE5F5F" w:rsidRDefault="00400E14" w:rsidP="00400E14">
      <w:pPr>
        <w:shd w:val="clear" w:color="auto" w:fill="FFFFFF"/>
        <w:spacing w:after="0" w:line="240" w:lineRule="auto"/>
        <w:jc w:val="both"/>
        <w:rPr>
          <w:rFonts w:ascii="Times New Roman" w:hAnsi="Times New Roman"/>
          <w:sz w:val="24"/>
          <w:szCs w:val="24"/>
        </w:rPr>
      </w:pPr>
      <w:r w:rsidRPr="00EE5F5F">
        <w:rPr>
          <w:rFonts w:ascii="Times New Roman" w:hAnsi="Times New Roman"/>
          <w:sz w:val="24"/>
          <w:szCs w:val="24"/>
        </w:rPr>
        <w:t>Продолжительность лечения инвазивного аспергиллеза определяется в каждом конкретном случае и в зависимости от тяжести основного заболевания пациента, восстановления после иммуносупрессии и клинического ответа. В целом лечение должно продолжаться не менее 7 дней после устранения симптомов.</w:t>
      </w:r>
    </w:p>
    <w:p w14:paraId="69DF4ECD" w14:textId="77777777"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sz w:val="24"/>
          <w:szCs w:val="24"/>
        </w:rPr>
        <w:t>Сведения о безопасности лечения продолжительностью более 4 недель ограничены. Однако имеющиеся данные свидетельствуют о том, что каспофунгин хорошо переносится и при более длительных курсах лечения (до 162 дней у взрослых и до 87 дней у детей).</w:t>
      </w:r>
    </w:p>
    <w:p w14:paraId="36DEED1C" w14:textId="77777777" w:rsidR="00400E14" w:rsidRPr="00FE4809" w:rsidRDefault="00400E14" w:rsidP="00400E14">
      <w:pPr>
        <w:spacing w:after="0" w:line="240" w:lineRule="auto"/>
        <w:ind w:right="-20"/>
        <w:jc w:val="both"/>
        <w:rPr>
          <w:rFonts w:ascii="Times New Roman" w:hAnsi="Times New Roman"/>
          <w:b/>
          <w:bCs/>
          <w:i/>
          <w:sz w:val="24"/>
          <w:szCs w:val="24"/>
        </w:rPr>
      </w:pPr>
      <w:r w:rsidRPr="00FE4809">
        <w:rPr>
          <w:rFonts w:ascii="Times New Roman" w:hAnsi="Times New Roman"/>
          <w:b/>
          <w:bCs/>
          <w:i/>
          <w:sz w:val="24"/>
          <w:szCs w:val="24"/>
        </w:rPr>
        <w:t xml:space="preserve">Особые группы пациентов </w:t>
      </w:r>
    </w:p>
    <w:p w14:paraId="213B0E76" w14:textId="77777777" w:rsidR="00400E14" w:rsidRPr="00EE5F5F" w:rsidRDefault="008A254C" w:rsidP="00400E14">
      <w:pPr>
        <w:spacing w:after="0" w:line="240" w:lineRule="auto"/>
        <w:ind w:right="-20"/>
        <w:jc w:val="both"/>
        <w:rPr>
          <w:rFonts w:ascii="Times New Roman" w:hAnsi="Times New Roman"/>
          <w:sz w:val="24"/>
          <w:szCs w:val="24"/>
        </w:rPr>
      </w:pPr>
      <w:r>
        <w:rPr>
          <w:rFonts w:ascii="Times New Roman" w:hAnsi="Times New Roman"/>
          <w:i/>
          <w:sz w:val="24"/>
          <w:szCs w:val="24"/>
        </w:rPr>
        <w:t>Пациенты п</w:t>
      </w:r>
      <w:r w:rsidR="00400E14" w:rsidRPr="00EE5F5F">
        <w:rPr>
          <w:rFonts w:ascii="Times New Roman" w:hAnsi="Times New Roman"/>
          <w:i/>
          <w:sz w:val="24"/>
          <w:szCs w:val="24"/>
        </w:rPr>
        <w:t>ожил</w:t>
      </w:r>
      <w:r>
        <w:rPr>
          <w:rFonts w:ascii="Times New Roman" w:hAnsi="Times New Roman"/>
          <w:i/>
          <w:sz w:val="24"/>
          <w:szCs w:val="24"/>
        </w:rPr>
        <w:t>ого возраста</w:t>
      </w:r>
    </w:p>
    <w:p w14:paraId="71A67CB0" w14:textId="77777777"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sz w:val="24"/>
          <w:szCs w:val="24"/>
        </w:rPr>
        <w:t xml:space="preserve">У </w:t>
      </w:r>
      <w:r w:rsidR="008A254C">
        <w:rPr>
          <w:rFonts w:ascii="Times New Roman" w:hAnsi="Times New Roman"/>
          <w:sz w:val="24"/>
          <w:szCs w:val="24"/>
        </w:rPr>
        <w:t xml:space="preserve">пациентов </w:t>
      </w:r>
      <w:r w:rsidRPr="00EE5F5F">
        <w:rPr>
          <w:rFonts w:ascii="Times New Roman" w:hAnsi="Times New Roman"/>
          <w:sz w:val="24"/>
          <w:szCs w:val="24"/>
        </w:rPr>
        <w:t>пожи</w:t>
      </w:r>
      <w:r w:rsidR="008A254C">
        <w:rPr>
          <w:rFonts w:ascii="Times New Roman" w:hAnsi="Times New Roman"/>
          <w:sz w:val="24"/>
          <w:szCs w:val="24"/>
        </w:rPr>
        <w:t>лого возраста</w:t>
      </w:r>
      <w:r w:rsidRPr="00EE5F5F">
        <w:rPr>
          <w:rFonts w:ascii="Times New Roman" w:hAnsi="Times New Roman"/>
          <w:sz w:val="24"/>
          <w:szCs w:val="24"/>
        </w:rPr>
        <w:t xml:space="preserve"> (65 лет и старше) площадь под кривой (AUC) увеличивалась приблизительно на 30 %. Однако систематическая коррекция дозы не требуется. Опыт лечения пациентов в возрасте 65 лет и старше ограничен.</w:t>
      </w:r>
    </w:p>
    <w:p w14:paraId="1B0A5224" w14:textId="77777777" w:rsidR="00400E14" w:rsidRPr="00EE5F5F" w:rsidRDefault="002E1108" w:rsidP="00400E14">
      <w:pPr>
        <w:spacing w:after="0" w:line="240" w:lineRule="auto"/>
        <w:ind w:right="-20"/>
        <w:jc w:val="both"/>
        <w:rPr>
          <w:rFonts w:ascii="Times New Roman" w:hAnsi="Times New Roman"/>
          <w:sz w:val="24"/>
          <w:szCs w:val="24"/>
        </w:rPr>
      </w:pPr>
      <w:r>
        <w:rPr>
          <w:rFonts w:ascii="Times New Roman" w:hAnsi="Times New Roman"/>
          <w:i/>
          <w:iCs/>
          <w:sz w:val="24"/>
          <w:szCs w:val="24"/>
        </w:rPr>
        <w:t>Пациенты с п</w:t>
      </w:r>
      <w:r w:rsidR="00400E14" w:rsidRPr="00EE5F5F">
        <w:rPr>
          <w:rFonts w:ascii="Times New Roman" w:hAnsi="Times New Roman"/>
          <w:i/>
          <w:iCs/>
          <w:sz w:val="24"/>
          <w:szCs w:val="24"/>
        </w:rPr>
        <w:t>очечн</w:t>
      </w:r>
      <w:r>
        <w:rPr>
          <w:rFonts w:ascii="Times New Roman" w:hAnsi="Times New Roman"/>
          <w:i/>
          <w:iCs/>
          <w:sz w:val="24"/>
          <w:szCs w:val="24"/>
        </w:rPr>
        <w:t>ой</w:t>
      </w:r>
      <w:r w:rsidR="00400E14" w:rsidRPr="00EE5F5F">
        <w:rPr>
          <w:rFonts w:ascii="Times New Roman" w:hAnsi="Times New Roman"/>
          <w:i/>
          <w:iCs/>
          <w:sz w:val="24"/>
          <w:szCs w:val="24"/>
        </w:rPr>
        <w:t xml:space="preserve"> недостаточность</w:t>
      </w:r>
      <w:r>
        <w:rPr>
          <w:rFonts w:ascii="Times New Roman" w:hAnsi="Times New Roman"/>
          <w:i/>
          <w:iCs/>
          <w:sz w:val="24"/>
          <w:szCs w:val="24"/>
        </w:rPr>
        <w:t>ю</w:t>
      </w:r>
    </w:p>
    <w:p w14:paraId="75FDFFA0" w14:textId="77777777" w:rsidR="00400E14" w:rsidRPr="00EE5F5F" w:rsidRDefault="00400E14" w:rsidP="00400E14">
      <w:pPr>
        <w:shd w:val="clear" w:color="auto" w:fill="FFFFFF"/>
        <w:spacing w:after="0" w:line="240" w:lineRule="auto"/>
        <w:jc w:val="both"/>
        <w:rPr>
          <w:rFonts w:ascii="Times New Roman" w:hAnsi="Times New Roman"/>
          <w:sz w:val="24"/>
          <w:szCs w:val="24"/>
        </w:rPr>
      </w:pPr>
      <w:r w:rsidRPr="00EE5F5F">
        <w:rPr>
          <w:rFonts w:ascii="Times New Roman" w:hAnsi="Times New Roman"/>
          <w:sz w:val="24"/>
          <w:szCs w:val="24"/>
        </w:rPr>
        <w:t>У пациентов с почечной недостаточностью коррекция дозы не требуется.</w:t>
      </w:r>
    </w:p>
    <w:p w14:paraId="2C448115" w14:textId="77777777" w:rsidR="00400E14" w:rsidRPr="00EE5F5F" w:rsidRDefault="002E1108" w:rsidP="00400E14">
      <w:pPr>
        <w:spacing w:after="0" w:line="240" w:lineRule="auto"/>
        <w:ind w:right="-20"/>
        <w:jc w:val="both"/>
        <w:rPr>
          <w:rFonts w:ascii="Times New Roman" w:hAnsi="Times New Roman"/>
          <w:sz w:val="24"/>
          <w:szCs w:val="24"/>
        </w:rPr>
      </w:pPr>
      <w:r>
        <w:rPr>
          <w:rFonts w:ascii="Times New Roman" w:hAnsi="Times New Roman"/>
          <w:i/>
          <w:iCs/>
          <w:sz w:val="24"/>
          <w:szCs w:val="24"/>
        </w:rPr>
        <w:t>Пациенты с п</w:t>
      </w:r>
      <w:r w:rsidR="00400E14" w:rsidRPr="00EE5F5F">
        <w:rPr>
          <w:rFonts w:ascii="Times New Roman" w:hAnsi="Times New Roman"/>
          <w:i/>
          <w:sz w:val="24"/>
          <w:szCs w:val="24"/>
        </w:rPr>
        <w:t>еченочн</w:t>
      </w:r>
      <w:r>
        <w:rPr>
          <w:rFonts w:ascii="Times New Roman" w:hAnsi="Times New Roman"/>
          <w:i/>
          <w:sz w:val="24"/>
          <w:szCs w:val="24"/>
        </w:rPr>
        <w:t>ой</w:t>
      </w:r>
      <w:r w:rsidR="00400E14" w:rsidRPr="00EE5F5F">
        <w:rPr>
          <w:rFonts w:ascii="Times New Roman" w:hAnsi="Times New Roman"/>
          <w:i/>
          <w:sz w:val="24"/>
          <w:szCs w:val="24"/>
        </w:rPr>
        <w:t xml:space="preserve"> недостаточность</w:t>
      </w:r>
      <w:r>
        <w:rPr>
          <w:rFonts w:ascii="Times New Roman" w:hAnsi="Times New Roman"/>
          <w:i/>
          <w:sz w:val="24"/>
          <w:szCs w:val="24"/>
        </w:rPr>
        <w:t>ю</w:t>
      </w:r>
    </w:p>
    <w:p w14:paraId="5B18C218" w14:textId="2EAFA5DE" w:rsidR="00400E14" w:rsidRPr="00EE5F5F" w:rsidRDefault="00400E14" w:rsidP="00400E14">
      <w:pPr>
        <w:spacing w:after="0" w:line="240" w:lineRule="auto"/>
        <w:ind w:right="-20"/>
        <w:jc w:val="both"/>
        <w:rPr>
          <w:rFonts w:ascii="Times New Roman" w:hAnsi="Times New Roman"/>
          <w:sz w:val="24"/>
          <w:szCs w:val="24"/>
        </w:rPr>
      </w:pPr>
      <w:r w:rsidRPr="00EE5F5F">
        <w:rPr>
          <w:rFonts w:ascii="Times New Roman" w:hAnsi="Times New Roman"/>
          <w:sz w:val="24"/>
          <w:szCs w:val="24"/>
        </w:rPr>
        <w:t>Для взрослых пациентов с печеночной недостаточностью легкой степени тяжести (5 – 6 баллов по шкале Чайлд-Пью) коррекция дозы не требуется. Согласно фармакокинетическим данным взрослым пациентам с печеночной недостаточностью средней тяжести (от 7 до 9 баллов по шкале Чайлд-Пью) рекомендуется доза каспофунгина 35 мг в день. В 1</w:t>
      </w:r>
      <w:r w:rsidRPr="00EE5F5F">
        <w:rPr>
          <w:rFonts w:ascii="Times New Roman" w:hAnsi="Times New Roman"/>
          <w:sz w:val="24"/>
          <w:szCs w:val="24"/>
          <w:vertAlign w:val="superscript"/>
        </w:rPr>
        <w:t>ый</w:t>
      </w:r>
      <w:r w:rsidRPr="00EE5F5F">
        <w:rPr>
          <w:rFonts w:ascii="Times New Roman" w:hAnsi="Times New Roman"/>
          <w:sz w:val="24"/>
          <w:szCs w:val="24"/>
        </w:rPr>
        <w:t xml:space="preserve"> день необходимо ввести начальную нагрузочную </w:t>
      </w:r>
      <w:r w:rsidR="00B0449D" w:rsidRPr="00EE5F5F">
        <w:rPr>
          <w:rFonts w:ascii="Times New Roman" w:hAnsi="Times New Roman"/>
          <w:sz w:val="24"/>
          <w:szCs w:val="24"/>
        </w:rPr>
        <w:t>дозу 70</w:t>
      </w:r>
      <w:r w:rsidRPr="00EE5F5F">
        <w:rPr>
          <w:rFonts w:ascii="Times New Roman" w:hAnsi="Times New Roman"/>
          <w:sz w:val="24"/>
          <w:szCs w:val="24"/>
        </w:rPr>
        <w:t xml:space="preserve"> мг. Клинический опыт применения у взрослых пациентов с тяжелой печеночной недостаточностью (выше 9 баллов по шкале Чайльда-Пью) и у детей с любой степенью тяжести печеночной недостаточности отсутствует.</w:t>
      </w:r>
    </w:p>
    <w:p w14:paraId="5FDAE6C9" w14:textId="77777777" w:rsidR="00400E14" w:rsidRPr="00EE5F5F" w:rsidRDefault="00400E14" w:rsidP="00400E14">
      <w:pPr>
        <w:shd w:val="clear" w:color="auto" w:fill="FFFFFF"/>
        <w:spacing w:after="0" w:line="240" w:lineRule="auto"/>
        <w:jc w:val="both"/>
        <w:rPr>
          <w:rFonts w:ascii="Times New Roman" w:hAnsi="Times New Roman"/>
          <w:i/>
          <w:sz w:val="24"/>
          <w:szCs w:val="24"/>
        </w:rPr>
      </w:pPr>
      <w:r w:rsidRPr="00EE5F5F">
        <w:rPr>
          <w:rFonts w:ascii="Times New Roman" w:hAnsi="Times New Roman"/>
          <w:i/>
          <w:sz w:val="24"/>
          <w:szCs w:val="24"/>
        </w:rPr>
        <w:t>Одновременное введение с индукторами метаболических ферментов</w:t>
      </w:r>
    </w:p>
    <w:p w14:paraId="6BD4A594" w14:textId="65F94D4E" w:rsidR="00400E14" w:rsidRPr="00EE5F5F" w:rsidRDefault="00400E14" w:rsidP="00400E14">
      <w:pPr>
        <w:shd w:val="clear" w:color="auto" w:fill="FFFFFF"/>
        <w:spacing w:after="0" w:line="240" w:lineRule="auto"/>
        <w:jc w:val="both"/>
        <w:rPr>
          <w:rFonts w:ascii="Times New Roman" w:hAnsi="Times New Roman"/>
          <w:sz w:val="24"/>
          <w:szCs w:val="24"/>
        </w:rPr>
      </w:pPr>
      <w:r w:rsidRPr="00EE5F5F">
        <w:rPr>
          <w:rFonts w:ascii="Times New Roman" w:hAnsi="Times New Roman"/>
          <w:sz w:val="24"/>
          <w:szCs w:val="24"/>
        </w:rPr>
        <w:t xml:space="preserve">Ограниченные данные свидетельствуют о том, что при одновременном введении каспофунгина с некоторыми индукторами метаболических ферментов взрослым </w:t>
      </w:r>
      <w:r w:rsidRPr="00EE5F5F">
        <w:rPr>
          <w:rFonts w:ascii="Times New Roman" w:hAnsi="Times New Roman"/>
          <w:sz w:val="24"/>
          <w:szCs w:val="24"/>
        </w:rPr>
        <w:lastRenderedPageBreak/>
        <w:t>пациентам рекомендуется повышение суточной дозы каспофунгина до 70 мг, следующей после нагрузочной дозы 70 мг (см. Лекарственные взаимодействия). Когда каспофунгин вводится одновременно с этими же индукторами метаболических ферментов детям от 12 месяцев до 17 лет (см. Лекарственные взаимодействия), рекомендуемая доза каспофунгина - 70 мг/м</w:t>
      </w:r>
      <w:r w:rsidRPr="00EE5F5F">
        <w:rPr>
          <w:rFonts w:ascii="Times New Roman" w:hAnsi="Times New Roman"/>
          <w:sz w:val="24"/>
          <w:szCs w:val="24"/>
          <w:vertAlign w:val="superscript"/>
        </w:rPr>
        <w:t>2</w:t>
      </w:r>
      <w:r w:rsidRPr="00EE5F5F">
        <w:rPr>
          <w:rFonts w:ascii="Times New Roman" w:hAnsi="Times New Roman"/>
          <w:sz w:val="24"/>
          <w:szCs w:val="24"/>
        </w:rPr>
        <w:t> ежедневно (не должна превышать фактическую суточную дозу 70 мг!).</w:t>
      </w:r>
    </w:p>
    <w:bookmarkEnd w:id="4"/>
    <w:p w14:paraId="57E10292" w14:textId="77777777" w:rsidR="009F5A85" w:rsidRPr="00EE5F5F" w:rsidRDefault="009F5A85" w:rsidP="0078568D">
      <w:pPr>
        <w:spacing w:after="0" w:line="240" w:lineRule="auto"/>
        <w:jc w:val="both"/>
        <w:rPr>
          <w:rFonts w:ascii="Times New Roman" w:hAnsi="Times New Roman"/>
          <w:b/>
          <w:sz w:val="24"/>
          <w:szCs w:val="24"/>
        </w:rPr>
      </w:pPr>
      <w:r w:rsidRPr="00EE5F5F">
        <w:rPr>
          <w:rFonts w:ascii="Times New Roman" w:hAnsi="Times New Roman"/>
          <w:b/>
          <w:sz w:val="24"/>
          <w:szCs w:val="24"/>
          <w:lang w:bidi="ru-RU"/>
        </w:rPr>
        <w:t xml:space="preserve">Способ применения </w:t>
      </w:r>
    </w:p>
    <w:p w14:paraId="6E2C72C7" w14:textId="77777777" w:rsidR="00277CC7" w:rsidRDefault="00400E14" w:rsidP="0078568D">
      <w:pPr>
        <w:spacing w:after="0" w:line="240" w:lineRule="auto"/>
        <w:jc w:val="both"/>
        <w:rPr>
          <w:rFonts w:ascii="Times New Roman" w:hAnsi="Times New Roman"/>
          <w:sz w:val="24"/>
          <w:szCs w:val="24"/>
        </w:rPr>
      </w:pPr>
      <w:r w:rsidRPr="00EE5F5F">
        <w:rPr>
          <w:rFonts w:ascii="Times New Roman" w:hAnsi="Times New Roman"/>
          <w:sz w:val="24"/>
          <w:szCs w:val="24"/>
        </w:rPr>
        <w:t>После восстановления и разведения раствор Касфоцина следует вводить путем медленной внутривенной инфузии в течение примерно 1 часа, 1 раз в сутки.</w:t>
      </w:r>
    </w:p>
    <w:p w14:paraId="3A3C3108" w14:textId="77777777" w:rsidR="00277CC7" w:rsidRPr="00277CC7" w:rsidRDefault="00277CC7" w:rsidP="00277CC7">
      <w:pPr>
        <w:spacing w:after="0" w:line="20" w:lineRule="atLeast"/>
        <w:jc w:val="center"/>
        <w:rPr>
          <w:rFonts w:ascii="Times New Roman" w:hAnsi="Times New Roman"/>
          <w:b/>
          <w:i/>
          <w:sz w:val="24"/>
          <w:szCs w:val="24"/>
          <w:u w:val="single"/>
        </w:rPr>
      </w:pPr>
      <w:r w:rsidRPr="00277CC7">
        <w:rPr>
          <w:rFonts w:ascii="Times New Roman" w:hAnsi="Times New Roman"/>
          <w:b/>
          <w:i/>
          <w:sz w:val="24"/>
          <w:szCs w:val="24"/>
          <w:u w:val="single"/>
        </w:rPr>
        <w:t>Указания по применению у взрослых пациентов</w:t>
      </w:r>
    </w:p>
    <w:p w14:paraId="3231D9BF" w14:textId="77777777" w:rsidR="00277CC7" w:rsidRPr="00277CC7" w:rsidRDefault="00277CC7" w:rsidP="00277CC7">
      <w:pPr>
        <w:spacing w:after="0" w:line="20" w:lineRule="atLeast"/>
        <w:jc w:val="both"/>
        <w:rPr>
          <w:rFonts w:ascii="Times New Roman" w:hAnsi="Times New Roman"/>
          <w:i/>
          <w:sz w:val="24"/>
          <w:szCs w:val="24"/>
        </w:rPr>
      </w:pPr>
      <w:r w:rsidRPr="00277CC7">
        <w:rPr>
          <w:rFonts w:ascii="Times New Roman" w:hAnsi="Times New Roman"/>
          <w:i/>
          <w:sz w:val="24"/>
          <w:szCs w:val="24"/>
        </w:rPr>
        <w:t>Шаг 1. Приготовление первичного раствора (восстановленного) во флаконе</w:t>
      </w:r>
    </w:p>
    <w:p w14:paraId="3D7B460F" w14:textId="77777777" w:rsidR="00277CC7" w:rsidRPr="00277CC7" w:rsidRDefault="00277CC7" w:rsidP="00277CC7">
      <w:pPr>
        <w:spacing w:after="0" w:line="20" w:lineRule="atLeast"/>
        <w:jc w:val="both"/>
        <w:rPr>
          <w:rFonts w:ascii="Times New Roman" w:hAnsi="Times New Roman"/>
          <w:i/>
          <w:sz w:val="24"/>
          <w:szCs w:val="24"/>
        </w:rPr>
      </w:pPr>
      <w:r w:rsidRPr="00277CC7">
        <w:rPr>
          <w:rFonts w:ascii="Times New Roman" w:hAnsi="Times New Roman"/>
          <w:bCs/>
          <w:iCs/>
          <w:sz w:val="24"/>
          <w:szCs w:val="24"/>
        </w:rPr>
        <w:t xml:space="preserve">Перед разведением </w:t>
      </w:r>
      <w:r w:rsidRPr="00277CC7">
        <w:rPr>
          <w:rFonts w:ascii="Times New Roman" w:hAnsi="Times New Roman"/>
          <w:sz w:val="24"/>
          <w:szCs w:val="24"/>
        </w:rPr>
        <w:t xml:space="preserve">холодный флакон с порошком Касфоцина необходимо довести до комнатной температуры и в условиях соблюдения асептики добавить 10.5 мл воды для инъекций </w:t>
      </w:r>
      <w:r w:rsidRPr="00277CC7">
        <w:rPr>
          <w:rFonts w:ascii="Times New Roman" w:hAnsi="Times New Roman"/>
          <w:snapToGrid w:val="0"/>
          <w:sz w:val="24"/>
          <w:szCs w:val="24"/>
        </w:rPr>
        <w:t>или раствора Рингера</w:t>
      </w:r>
      <w:r w:rsidRPr="00277CC7">
        <w:rPr>
          <w:rFonts w:ascii="Times New Roman" w:hAnsi="Times New Roman"/>
          <w:sz w:val="24"/>
          <w:szCs w:val="24"/>
        </w:rPr>
        <w:t>. Концентрация препарата в первичном растворе (во флаконе 50 мг) составит 5.2 мг/мл.</w:t>
      </w:r>
    </w:p>
    <w:p w14:paraId="3D3B86D7" w14:textId="77777777" w:rsidR="00277CC7" w:rsidRPr="00277CC7" w:rsidRDefault="00277CC7" w:rsidP="00277CC7">
      <w:pPr>
        <w:spacing w:after="0" w:line="20" w:lineRule="atLeast"/>
        <w:ind w:right="-20"/>
        <w:jc w:val="both"/>
        <w:rPr>
          <w:rFonts w:ascii="Times New Roman" w:hAnsi="Times New Roman"/>
          <w:sz w:val="24"/>
          <w:szCs w:val="24"/>
        </w:rPr>
      </w:pPr>
      <w:r w:rsidRPr="00277CC7">
        <w:rPr>
          <w:rFonts w:ascii="Times New Roman" w:hAnsi="Times New Roman"/>
          <w:sz w:val="24"/>
          <w:szCs w:val="24"/>
        </w:rPr>
        <w:t>Белый или почти белый лиофилизированный порошок должен полностью раствориться. Осторожно перемешайте содержимое флакона до получения прозрачного раствора. Восстановленный первичный раствор следует визуально проверить на наличие твердых частиц или изменения цвета. Восстановленный раствор можно хранить в течение 24 часов при температуре 25 °C и ниже.</w:t>
      </w:r>
    </w:p>
    <w:p w14:paraId="2FB0B455" w14:textId="6E187695" w:rsidR="00277CC7" w:rsidRPr="00277CC7" w:rsidRDefault="00277CC7" w:rsidP="00277CC7">
      <w:pPr>
        <w:spacing w:after="0" w:line="20" w:lineRule="atLeast"/>
        <w:ind w:right="-20"/>
        <w:jc w:val="both"/>
        <w:rPr>
          <w:rFonts w:ascii="Times New Roman" w:hAnsi="Times New Roman"/>
          <w:i/>
          <w:sz w:val="24"/>
          <w:szCs w:val="24"/>
        </w:rPr>
      </w:pPr>
      <w:r w:rsidRPr="00277CC7">
        <w:rPr>
          <w:rFonts w:ascii="Times New Roman" w:hAnsi="Times New Roman"/>
          <w:i/>
          <w:sz w:val="24"/>
          <w:szCs w:val="24"/>
        </w:rPr>
        <w:t>Шаг 2</w:t>
      </w:r>
      <w:r w:rsidR="00FA16B9">
        <w:rPr>
          <w:rFonts w:ascii="Times New Roman" w:hAnsi="Times New Roman"/>
          <w:i/>
          <w:sz w:val="24"/>
          <w:szCs w:val="24"/>
        </w:rPr>
        <w:t xml:space="preserve">. </w:t>
      </w:r>
      <w:r w:rsidRPr="00277CC7">
        <w:rPr>
          <w:rFonts w:ascii="Times New Roman" w:hAnsi="Times New Roman"/>
          <w:i/>
          <w:sz w:val="24"/>
          <w:szCs w:val="24"/>
        </w:rPr>
        <w:t xml:space="preserve"> Добавление восстановленного Касфоцина в раствор для инфузий</w:t>
      </w:r>
    </w:p>
    <w:p w14:paraId="2902ECA2" w14:textId="77777777" w:rsidR="00277CC7" w:rsidRPr="00277CC7" w:rsidRDefault="00277CC7" w:rsidP="00277CC7">
      <w:pPr>
        <w:spacing w:after="0" w:line="20" w:lineRule="atLeast"/>
        <w:ind w:right="-20"/>
        <w:jc w:val="both"/>
        <w:rPr>
          <w:rFonts w:ascii="Times New Roman" w:hAnsi="Times New Roman"/>
          <w:sz w:val="24"/>
          <w:szCs w:val="24"/>
        </w:rPr>
      </w:pPr>
      <w:r w:rsidRPr="00277CC7">
        <w:rPr>
          <w:rFonts w:ascii="Times New Roman" w:hAnsi="Times New Roman"/>
          <w:sz w:val="24"/>
          <w:szCs w:val="24"/>
        </w:rPr>
        <w:t>В качестве растворителей используются раствор хлорида натрия для инъекций или раствор Рингера с лактатом. Раствор для инфузии готовят путем асептического добавления соответствующего количества восстановленного концентрата (как указано в таблице 1 ниже) в инфузионный мешок или флакон объемом 250 мл. По медицинским показаниям можно применять для инфузии уменьшенный объем в 100 мл для суточных доз 50 мг или 35 мг. Не использовать, если раствор мутный или образовался осадок.</w:t>
      </w:r>
    </w:p>
    <w:p w14:paraId="67D77BE5" w14:textId="14218878" w:rsidR="00277CC7" w:rsidRDefault="00277CC7" w:rsidP="004336FF">
      <w:pPr>
        <w:spacing w:after="0" w:line="20" w:lineRule="atLeast"/>
        <w:ind w:right="-20"/>
        <w:jc w:val="both"/>
        <w:rPr>
          <w:rFonts w:ascii="Times New Roman" w:hAnsi="Times New Roman"/>
          <w:i/>
          <w:sz w:val="24"/>
          <w:szCs w:val="24"/>
          <w:u w:val="single"/>
        </w:rPr>
      </w:pPr>
      <w:r w:rsidRPr="00277CC7">
        <w:rPr>
          <w:rFonts w:ascii="Times New Roman" w:hAnsi="Times New Roman"/>
          <w:i/>
          <w:sz w:val="24"/>
          <w:szCs w:val="24"/>
        </w:rPr>
        <w:t xml:space="preserve">Таблица 1. Приготовление инфузионного раствора для взрослых пациентов </w:t>
      </w:r>
      <w:r w:rsidRPr="00277CC7">
        <w:rPr>
          <w:rFonts w:ascii="Times New Roman" w:hAnsi="Times New Roman"/>
          <w:i/>
          <w:sz w:val="24"/>
          <w:szCs w:val="24"/>
          <w:u w:val="single"/>
        </w:rPr>
        <w:t>(с использованием флакона 50 мг)</w:t>
      </w:r>
    </w:p>
    <w:p w14:paraId="657D2B60" w14:textId="77777777" w:rsidR="004336FF" w:rsidRPr="00277CC7" w:rsidRDefault="004336FF" w:rsidP="004336FF">
      <w:pPr>
        <w:spacing w:after="0" w:line="20" w:lineRule="atLeast"/>
        <w:ind w:right="-20"/>
        <w:jc w:val="both"/>
        <w:rPr>
          <w:rFonts w:ascii="Times New Roman" w:hAnsi="Times New Roman"/>
          <w:i/>
          <w:sz w:val="24"/>
          <w:szCs w:val="24"/>
          <w:u w:val="single"/>
        </w:rPr>
      </w:pPr>
    </w:p>
    <w:tbl>
      <w:tblPr>
        <w:tblW w:w="9214" w:type="dxa"/>
        <w:tblInd w:w="5" w:type="dxa"/>
        <w:tblLayout w:type="fixed"/>
        <w:tblCellMar>
          <w:left w:w="0" w:type="dxa"/>
          <w:right w:w="0" w:type="dxa"/>
        </w:tblCellMar>
        <w:tblLook w:val="01E0" w:firstRow="1" w:lastRow="1" w:firstColumn="1" w:lastColumn="1" w:noHBand="0" w:noVBand="0"/>
      </w:tblPr>
      <w:tblGrid>
        <w:gridCol w:w="2831"/>
        <w:gridCol w:w="2272"/>
        <w:gridCol w:w="1984"/>
        <w:gridCol w:w="2127"/>
      </w:tblGrid>
      <w:tr w:rsidR="00277CC7" w:rsidRPr="00277CC7" w14:paraId="5DAB6053" w14:textId="77777777" w:rsidTr="00122958">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50B8FB26" w14:textId="77777777" w:rsidR="00277CC7" w:rsidRPr="0061557D" w:rsidRDefault="00277CC7" w:rsidP="00277CC7">
            <w:pPr>
              <w:tabs>
                <w:tab w:val="left" w:pos="5954"/>
              </w:tabs>
              <w:spacing w:after="0" w:line="20" w:lineRule="atLeast"/>
              <w:ind w:left="67" w:right="-4"/>
              <w:rPr>
                <w:rFonts w:ascii="Times New Roman" w:hAnsi="Times New Roman"/>
              </w:rPr>
            </w:pPr>
            <w:r w:rsidRPr="0061557D">
              <w:rPr>
                <w:rFonts w:ascii="Times New Roman" w:hAnsi="Times New Roman"/>
                <w:b/>
              </w:rPr>
              <w:t>ДОЗА*</w:t>
            </w:r>
          </w:p>
        </w:tc>
        <w:tc>
          <w:tcPr>
            <w:tcW w:w="2272" w:type="dxa"/>
            <w:tcBorders>
              <w:top w:val="single" w:sz="4" w:space="0" w:color="000000"/>
              <w:left w:val="single" w:sz="4" w:space="0" w:color="000000"/>
              <w:bottom w:val="single" w:sz="4" w:space="0" w:color="000000"/>
              <w:right w:val="single" w:sz="4" w:space="0" w:color="000000"/>
            </w:tcBorders>
            <w:vAlign w:val="center"/>
          </w:tcPr>
          <w:p w14:paraId="6387BD6A" w14:textId="77777777" w:rsidR="00277CC7" w:rsidRPr="0061557D" w:rsidRDefault="00277CC7" w:rsidP="00277CC7">
            <w:pPr>
              <w:tabs>
                <w:tab w:val="left" w:pos="5954"/>
              </w:tabs>
              <w:spacing w:after="0" w:line="20" w:lineRule="atLeast"/>
              <w:ind w:left="67" w:right="-4"/>
              <w:rPr>
                <w:rFonts w:ascii="Times New Roman" w:hAnsi="Times New Roman"/>
              </w:rPr>
            </w:pPr>
            <w:r w:rsidRPr="0061557D">
              <w:rPr>
                <w:rFonts w:ascii="Times New Roman" w:hAnsi="Times New Roman"/>
                <w:b/>
              </w:rPr>
              <w:t>Объем восстановленного Касфоцина для переноса в мешок или флакон для внутривенных инфузий</w:t>
            </w:r>
          </w:p>
        </w:tc>
        <w:tc>
          <w:tcPr>
            <w:tcW w:w="1984" w:type="dxa"/>
            <w:tcBorders>
              <w:top w:val="single" w:sz="4" w:space="0" w:color="000000"/>
              <w:left w:val="single" w:sz="4" w:space="0" w:color="000000"/>
              <w:bottom w:val="single" w:sz="4" w:space="0" w:color="000000"/>
              <w:right w:val="single" w:sz="4" w:space="0" w:color="000000"/>
            </w:tcBorders>
            <w:vAlign w:val="center"/>
          </w:tcPr>
          <w:p w14:paraId="697A78D3" w14:textId="77777777" w:rsidR="00277CC7" w:rsidRPr="0061557D" w:rsidRDefault="00277CC7" w:rsidP="00277CC7">
            <w:pPr>
              <w:tabs>
                <w:tab w:val="left" w:pos="5954"/>
              </w:tabs>
              <w:spacing w:after="0" w:line="20" w:lineRule="atLeast"/>
              <w:ind w:left="67" w:right="-4"/>
              <w:rPr>
                <w:rFonts w:ascii="Times New Roman" w:hAnsi="Times New Roman"/>
              </w:rPr>
            </w:pPr>
            <w:r w:rsidRPr="0061557D">
              <w:rPr>
                <w:rFonts w:ascii="Times New Roman" w:hAnsi="Times New Roman"/>
                <w:b/>
              </w:rPr>
              <w:t>Стандартное приготовление</w:t>
            </w:r>
            <w:r w:rsidRPr="0061557D">
              <w:rPr>
                <w:rFonts w:ascii="Times New Roman" w:hAnsi="Times New Roman"/>
              </w:rPr>
              <w:t xml:space="preserve"> (восстановленный Касфоцин добавляется в 250 мл), конечная концентрация</w:t>
            </w:r>
          </w:p>
        </w:tc>
        <w:tc>
          <w:tcPr>
            <w:tcW w:w="2127" w:type="dxa"/>
            <w:tcBorders>
              <w:top w:val="single" w:sz="4" w:space="0" w:color="000000"/>
              <w:left w:val="single" w:sz="4" w:space="0" w:color="000000"/>
              <w:bottom w:val="single" w:sz="4" w:space="0" w:color="000000"/>
              <w:right w:val="single" w:sz="4" w:space="0" w:color="000000"/>
            </w:tcBorders>
            <w:vAlign w:val="center"/>
          </w:tcPr>
          <w:p w14:paraId="1A7A3762" w14:textId="77777777" w:rsidR="00277CC7" w:rsidRPr="0061557D" w:rsidRDefault="00277CC7" w:rsidP="00277CC7">
            <w:pPr>
              <w:tabs>
                <w:tab w:val="left" w:pos="5954"/>
              </w:tabs>
              <w:spacing w:after="0" w:line="20" w:lineRule="atLeast"/>
              <w:ind w:left="67" w:right="-4"/>
              <w:rPr>
                <w:rFonts w:ascii="Times New Roman" w:hAnsi="Times New Roman"/>
              </w:rPr>
            </w:pPr>
            <w:r w:rsidRPr="0061557D">
              <w:rPr>
                <w:rFonts w:ascii="Times New Roman" w:hAnsi="Times New Roman"/>
                <w:b/>
              </w:rPr>
              <w:t xml:space="preserve">Инфузия уменьшенного объема </w:t>
            </w:r>
            <w:r w:rsidRPr="0061557D">
              <w:rPr>
                <w:rFonts w:ascii="Times New Roman" w:hAnsi="Times New Roman"/>
              </w:rPr>
              <w:t>(восстановленный Касфоцин добавляется в 100 мл), конечная концентрация</w:t>
            </w:r>
          </w:p>
        </w:tc>
      </w:tr>
      <w:tr w:rsidR="00277CC7" w:rsidRPr="00277CC7" w14:paraId="6FAC94B6" w14:textId="77777777" w:rsidTr="00122958">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129B3310"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50 мг</w:t>
            </w:r>
          </w:p>
        </w:tc>
        <w:tc>
          <w:tcPr>
            <w:tcW w:w="2272" w:type="dxa"/>
            <w:tcBorders>
              <w:top w:val="single" w:sz="4" w:space="0" w:color="000000"/>
              <w:left w:val="single" w:sz="4" w:space="0" w:color="000000"/>
              <w:bottom w:val="single" w:sz="4" w:space="0" w:color="000000"/>
              <w:right w:val="single" w:sz="4" w:space="0" w:color="000000"/>
            </w:tcBorders>
            <w:vAlign w:val="center"/>
          </w:tcPr>
          <w:p w14:paraId="6702974B"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10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69731812"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0,20 мг/мл</w:t>
            </w:r>
          </w:p>
        </w:tc>
        <w:tc>
          <w:tcPr>
            <w:tcW w:w="2127" w:type="dxa"/>
            <w:tcBorders>
              <w:top w:val="single" w:sz="4" w:space="0" w:color="000000"/>
              <w:left w:val="single" w:sz="4" w:space="0" w:color="000000"/>
              <w:bottom w:val="single" w:sz="4" w:space="0" w:color="000000"/>
              <w:right w:val="single" w:sz="4" w:space="0" w:color="000000"/>
            </w:tcBorders>
            <w:vAlign w:val="center"/>
          </w:tcPr>
          <w:p w14:paraId="7F6F6618"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w:t>
            </w:r>
          </w:p>
        </w:tc>
      </w:tr>
      <w:tr w:rsidR="00277CC7" w:rsidRPr="00277CC7" w14:paraId="35705B2B" w14:textId="77777777" w:rsidTr="00122958">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4AD1FCD5"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50 мг для уменьшенного объема</w:t>
            </w:r>
          </w:p>
        </w:tc>
        <w:tc>
          <w:tcPr>
            <w:tcW w:w="2272" w:type="dxa"/>
            <w:tcBorders>
              <w:top w:val="single" w:sz="4" w:space="0" w:color="000000"/>
              <w:left w:val="single" w:sz="4" w:space="0" w:color="000000"/>
              <w:bottom w:val="single" w:sz="4" w:space="0" w:color="000000"/>
              <w:right w:val="single" w:sz="4" w:space="0" w:color="000000"/>
            </w:tcBorders>
            <w:vAlign w:val="center"/>
          </w:tcPr>
          <w:p w14:paraId="74DD54D0"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10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6A0B9CCE"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5A8B84BE"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0,47 мг/мл</w:t>
            </w:r>
          </w:p>
        </w:tc>
      </w:tr>
      <w:tr w:rsidR="00277CC7" w:rsidRPr="00277CC7" w14:paraId="35CEAF40" w14:textId="77777777" w:rsidTr="00122958">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32665AE9"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35 мг при печеночной недостаточности средней тяжести (из одного флакона 50 мг)</w:t>
            </w:r>
          </w:p>
        </w:tc>
        <w:tc>
          <w:tcPr>
            <w:tcW w:w="2272" w:type="dxa"/>
            <w:tcBorders>
              <w:top w:val="single" w:sz="4" w:space="0" w:color="000000"/>
              <w:left w:val="single" w:sz="4" w:space="0" w:color="000000"/>
              <w:bottom w:val="single" w:sz="4" w:space="0" w:color="000000"/>
              <w:right w:val="single" w:sz="4" w:space="0" w:color="000000"/>
            </w:tcBorders>
            <w:vAlign w:val="center"/>
          </w:tcPr>
          <w:p w14:paraId="1BBA71C4"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7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5AAB2CDD"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0,14 мг/мл</w:t>
            </w:r>
          </w:p>
        </w:tc>
        <w:tc>
          <w:tcPr>
            <w:tcW w:w="2127" w:type="dxa"/>
            <w:tcBorders>
              <w:top w:val="single" w:sz="4" w:space="0" w:color="000000"/>
              <w:left w:val="single" w:sz="4" w:space="0" w:color="000000"/>
              <w:bottom w:val="single" w:sz="4" w:space="0" w:color="000000"/>
              <w:right w:val="single" w:sz="4" w:space="0" w:color="000000"/>
            </w:tcBorders>
            <w:vAlign w:val="center"/>
          </w:tcPr>
          <w:p w14:paraId="73E5111E"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w:t>
            </w:r>
          </w:p>
        </w:tc>
      </w:tr>
      <w:tr w:rsidR="00277CC7" w:rsidRPr="00277CC7" w14:paraId="6F283283" w14:textId="77777777" w:rsidTr="00122958">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5525EDC2"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35 мг при печеночной недостаточности средней тяжести (из одного флакона 50 мг) для уменьшенного объема</w:t>
            </w:r>
          </w:p>
        </w:tc>
        <w:tc>
          <w:tcPr>
            <w:tcW w:w="2272" w:type="dxa"/>
            <w:tcBorders>
              <w:top w:val="single" w:sz="4" w:space="0" w:color="000000"/>
              <w:left w:val="single" w:sz="4" w:space="0" w:color="000000"/>
              <w:bottom w:val="single" w:sz="4" w:space="0" w:color="000000"/>
              <w:right w:val="single" w:sz="4" w:space="0" w:color="000000"/>
            </w:tcBorders>
            <w:vAlign w:val="center"/>
          </w:tcPr>
          <w:p w14:paraId="2B1F1E91"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7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63E47A83"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4F3CEBA0" w14:textId="77777777" w:rsidR="00277CC7" w:rsidRPr="0061557D" w:rsidRDefault="00277CC7" w:rsidP="00277CC7">
            <w:pPr>
              <w:spacing w:after="0" w:line="20" w:lineRule="atLeast"/>
              <w:ind w:left="67" w:right="-4"/>
              <w:rPr>
                <w:rFonts w:ascii="Times New Roman" w:hAnsi="Times New Roman"/>
              </w:rPr>
            </w:pPr>
            <w:r w:rsidRPr="0061557D">
              <w:rPr>
                <w:rFonts w:ascii="Times New Roman" w:hAnsi="Times New Roman"/>
              </w:rPr>
              <w:t>0,34 мг/мл</w:t>
            </w:r>
          </w:p>
        </w:tc>
      </w:tr>
    </w:tbl>
    <w:p w14:paraId="7426C02D" w14:textId="77777777" w:rsidR="00277CC7" w:rsidRPr="0061557D" w:rsidRDefault="00277CC7" w:rsidP="004336FF">
      <w:pPr>
        <w:spacing w:after="0" w:line="20" w:lineRule="atLeast"/>
        <w:ind w:left="142" w:right="-20" w:hanging="142"/>
        <w:jc w:val="both"/>
        <w:rPr>
          <w:rFonts w:ascii="Times New Roman" w:hAnsi="Times New Roman"/>
        </w:rPr>
      </w:pPr>
      <w:r w:rsidRPr="0061557D">
        <w:rPr>
          <w:rFonts w:ascii="Times New Roman" w:hAnsi="Times New Roman"/>
        </w:rPr>
        <w:t>* 10,5 мл необходимо использовать для восстановления всех флаконов.</w:t>
      </w:r>
    </w:p>
    <w:p w14:paraId="0DA77078" w14:textId="77777777" w:rsidR="00277CC7" w:rsidRPr="00277CC7" w:rsidRDefault="00277CC7" w:rsidP="0061557D">
      <w:pPr>
        <w:spacing w:after="0" w:line="20" w:lineRule="atLeast"/>
        <w:jc w:val="center"/>
        <w:rPr>
          <w:rFonts w:ascii="Times New Roman" w:hAnsi="Times New Roman"/>
          <w:b/>
          <w:i/>
          <w:sz w:val="24"/>
          <w:szCs w:val="24"/>
          <w:u w:val="single"/>
        </w:rPr>
      </w:pPr>
      <w:r w:rsidRPr="00277CC7">
        <w:rPr>
          <w:rFonts w:ascii="Times New Roman" w:hAnsi="Times New Roman"/>
          <w:b/>
          <w:i/>
          <w:sz w:val="24"/>
          <w:szCs w:val="24"/>
          <w:u w:val="single"/>
        </w:rPr>
        <w:t>Указания по применению у детей</w:t>
      </w:r>
    </w:p>
    <w:p w14:paraId="6B925148" w14:textId="77777777" w:rsidR="00277CC7" w:rsidRPr="00277CC7" w:rsidRDefault="00277CC7" w:rsidP="00277CC7">
      <w:pPr>
        <w:spacing w:after="0" w:line="20" w:lineRule="atLeast"/>
        <w:jc w:val="both"/>
        <w:rPr>
          <w:rFonts w:ascii="Times New Roman" w:hAnsi="Times New Roman"/>
          <w:i/>
          <w:sz w:val="24"/>
          <w:szCs w:val="24"/>
        </w:rPr>
      </w:pPr>
      <w:r w:rsidRPr="00277CC7">
        <w:rPr>
          <w:rFonts w:ascii="Times New Roman" w:hAnsi="Times New Roman"/>
          <w:i/>
          <w:sz w:val="24"/>
          <w:szCs w:val="24"/>
        </w:rPr>
        <w:t>Расчет площади поверхности тела для определения дозы у детей</w:t>
      </w:r>
    </w:p>
    <w:p w14:paraId="67451F01" w14:textId="77777777" w:rsidR="00277CC7" w:rsidRPr="00277CC7" w:rsidRDefault="00277CC7" w:rsidP="00277CC7">
      <w:pPr>
        <w:spacing w:after="0" w:line="20" w:lineRule="atLeast"/>
        <w:jc w:val="both"/>
        <w:rPr>
          <w:rFonts w:ascii="Times New Roman" w:hAnsi="Times New Roman"/>
          <w:sz w:val="24"/>
          <w:szCs w:val="24"/>
        </w:rPr>
      </w:pPr>
      <w:r w:rsidRPr="00277CC7">
        <w:rPr>
          <w:rFonts w:ascii="Times New Roman" w:hAnsi="Times New Roman"/>
          <w:sz w:val="24"/>
          <w:szCs w:val="24"/>
        </w:rPr>
        <w:lastRenderedPageBreak/>
        <w:t>Перед приготовлением инфузионного раствора необходимо рассчитать площадь поверхности тела (ППТ) ребенка по следующей формуле (формула Мостеллера):</w:t>
      </w:r>
    </w:p>
    <w:p w14:paraId="61C36046" w14:textId="77777777" w:rsidR="00277CC7" w:rsidRPr="00277CC7" w:rsidRDefault="00277CC7" w:rsidP="00277CC7">
      <w:pPr>
        <w:spacing w:after="0" w:line="20" w:lineRule="atLeast"/>
        <w:jc w:val="center"/>
        <w:rPr>
          <w:rFonts w:ascii="Times New Roman" w:hAnsi="Times New Roman"/>
          <w:b/>
          <w:sz w:val="24"/>
          <w:szCs w:val="24"/>
        </w:rPr>
      </w:pPr>
      <w:r w:rsidRPr="00277CC7">
        <w:rPr>
          <w:rFonts w:ascii="Times New Roman" w:hAnsi="Times New Roman"/>
          <w:sz w:val="24"/>
          <w:szCs w:val="24"/>
        </w:rPr>
        <w:t xml:space="preserve">ППТ </w:t>
      </w:r>
      <w:r w:rsidRPr="00277CC7">
        <w:rPr>
          <w:rFonts w:ascii="Times New Roman" w:hAnsi="Times New Roman"/>
          <w:b/>
          <w:sz w:val="24"/>
          <w:szCs w:val="24"/>
        </w:rPr>
        <w:t>(</w:t>
      </w:r>
      <w:r w:rsidRPr="00277CC7">
        <w:rPr>
          <w:rFonts w:ascii="Times New Roman" w:hAnsi="Times New Roman"/>
          <w:sz w:val="24"/>
          <w:szCs w:val="24"/>
        </w:rPr>
        <w:t>м</w:t>
      </w:r>
      <w:r w:rsidRPr="00277CC7">
        <w:rPr>
          <w:rFonts w:ascii="Times New Roman" w:hAnsi="Times New Roman"/>
          <w:sz w:val="24"/>
          <w:szCs w:val="24"/>
          <w:vertAlign w:val="superscript"/>
        </w:rPr>
        <w:t>2</w:t>
      </w:r>
      <w:r w:rsidRPr="00277CC7">
        <w:rPr>
          <w:rFonts w:ascii="Times New Roman" w:hAnsi="Times New Roman"/>
          <w:sz w:val="24"/>
          <w:szCs w:val="24"/>
        </w:rPr>
        <w:t xml:space="preserve">) = </w:t>
      </w:r>
      <w:r w:rsidR="000B4EF4">
        <w:rPr>
          <w:rFonts w:ascii="Times New Roman" w:hAnsi="Times New Roman"/>
          <w:noProof/>
          <w:position w:val="-26"/>
          <w:sz w:val="24"/>
          <w:szCs w:val="24"/>
          <w:lang w:eastAsia="ru-RU"/>
        </w:rPr>
        <w:drawing>
          <wp:inline distT="0" distB="0" distL="0" distR="0" wp14:anchorId="2259F001" wp14:editId="6F59099D">
            <wp:extent cx="1495425" cy="4381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438150"/>
                    </a:xfrm>
                    <a:prstGeom prst="rect">
                      <a:avLst/>
                    </a:prstGeom>
                    <a:noFill/>
                    <a:ln>
                      <a:noFill/>
                    </a:ln>
                  </pic:spPr>
                </pic:pic>
              </a:graphicData>
            </a:graphic>
          </wp:inline>
        </w:drawing>
      </w:r>
    </w:p>
    <w:p w14:paraId="1F514163" w14:textId="77777777" w:rsidR="00277CC7" w:rsidRPr="00277CC7" w:rsidRDefault="00277CC7" w:rsidP="00277CC7">
      <w:pPr>
        <w:spacing w:after="0" w:line="20" w:lineRule="atLeast"/>
        <w:ind w:right="-20"/>
        <w:jc w:val="both"/>
        <w:rPr>
          <w:rFonts w:ascii="Times New Roman" w:hAnsi="Times New Roman"/>
          <w:b/>
          <w:i/>
          <w:sz w:val="24"/>
          <w:szCs w:val="24"/>
          <w:u w:val="single"/>
        </w:rPr>
      </w:pPr>
    </w:p>
    <w:p w14:paraId="0B463248" w14:textId="77777777" w:rsidR="00277CC7" w:rsidRPr="00277CC7" w:rsidRDefault="00277CC7" w:rsidP="00277CC7">
      <w:pPr>
        <w:spacing w:after="0" w:line="20" w:lineRule="atLeast"/>
        <w:ind w:right="-20"/>
        <w:jc w:val="both"/>
        <w:rPr>
          <w:rFonts w:ascii="Times New Roman" w:hAnsi="Times New Roman"/>
          <w:b/>
          <w:i/>
          <w:sz w:val="24"/>
          <w:szCs w:val="24"/>
          <w:u w:val="single"/>
        </w:rPr>
      </w:pPr>
      <w:r w:rsidRPr="00277CC7">
        <w:rPr>
          <w:rFonts w:ascii="Times New Roman" w:hAnsi="Times New Roman"/>
          <w:b/>
          <w:i/>
          <w:sz w:val="24"/>
          <w:szCs w:val="24"/>
          <w:u w:val="single"/>
        </w:rPr>
        <w:t>Приготовление инфузионного раствора 70 мг/м</w:t>
      </w:r>
      <w:r w:rsidRPr="00277CC7">
        <w:rPr>
          <w:rFonts w:ascii="Times New Roman" w:hAnsi="Times New Roman"/>
          <w:b/>
          <w:i/>
          <w:sz w:val="24"/>
          <w:szCs w:val="24"/>
          <w:u w:val="single"/>
          <w:vertAlign w:val="superscript"/>
        </w:rPr>
        <w:t>2</w:t>
      </w:r>
      <w:r w:rsidRPr="00277CC7">
        <w:rPr>
          <w:rFonts w:ascii="Times New Roman" w:hAnsi="Times New Roman"/>
          <w:b/>
          <w:i/>
          <w:sz w:val="24"/>
          <w:szCs w:val="24"/>
          <w:u w:val="single"/>
        </w:rPr>
        <w:t xml:space="preserve"> для детей в возрасте &gt;3 месяцев (с использованием флакона 50 мг)</w:t>
      </w:r>
    </w:p>
    <w:p w14:paraId="1F03BA4B" w14:textId="77777777" w:rsidR="00277CC7" w:rsidRPr="00277CC7" w:rsidRDefault="00277CC7" w:rsidP="004336FF">
      <w:pPr>
        <w:pStyle w:val="ab"/>
        <w:widowControl w:val="0"/>
        <w:numPr>
          <w:ilvl w:val="0"/>
          <w:numId w:val="26"/>
        </w:numPr>
        <w:tabs>
          <w:tab w:val="left" w:pos="709"/>
        </w:tabs>
        <w:spacing w:after="0" w:line="20" w:lineRule="atLeast"/>
        <w:ind w:left="0" w:right="-20" w:hanging="284"/>
        <w:jc w:val="both"/>
        <w:rPr>
          <w:rFonts w:ascii="Times New Roman" w:hAnsi="Times New Roman"/>
          <w:sz w:val="24"/>
          <w:szCs w:val="24"/>
        </w:rPr>
      </w:pPr>
      <w:r w:rsidRPr="00277CC7">
        <w:rPr>
          <w:rFonts w:ascii="Times New Roman" w:hAnsi="Times New Roman"/>
          <w:sz w:val="24"/>
          <w:szCs w:val="24"/>
        </w:rPr>
        <w:t>Определите фактическую нагрузочную дозу для ребенка с помощью ППТ пациента (рассчитанную выше) по следующей формуле:</w:t>
      </w:r>
    </w:p>
    <w:p w14:paraId="6D0E8352" w14:textId="77777777" w:rsidR="00277CC7" w:rsidRPr="00277CC7" w:rsidRDefault="00277CC7" w:rsidP="004336FF">
      <w:pPr>
        <w:tabs>
          <w:tab w:val="left" w:pos="709"/>
        </w:tabs>
        <w:spacing w:after="0" w:line="20" w:lineRule="atLeast"/>
        <w:ind w:right="-20"/>
        <w:jc w:val="both"/>
        <w:rPr>
          <w:rFonts w:ascii="Times New Roman" w:hAnsi="Times New Roman"/>
          <w:sz w:val="24"/>
          <w:szCs w:val="24"/>
        </w:rPr>
      </w:pPr>
      <w:r w:rsidRPr="00277CC7">
        <w:rPr>
          <w:rFonts w:ascii="Times New Roman" w:hAnsi="Times New Roman"/>
          <w:sz w:val="24"/>
          <w:szCs w:val="24"/>
        </w:rPr>
        <w:t>ППТ (м</w:t>
      </w:r>
      <w:r w:rsidRPr="00277CC7">
        <w:rPr>
          <w:rFonts w:ascii="Times New Roman" w:hAnsi="Times New Roman"/>
          <w:sz w:val="24"/>
          <w:szCs w:val="24"/>
          <w:vertAlign w:val="superscript"/>
        </w:rPr>
        <w:t>2</w:t>
      </w:r>
      <w:r w:rsidRPr="00277CC7">
        <w:rPr>
          <w:rFonts w:ascii="Times New Roman" w:hAnsi="Times New Roman"/>
          <w:sz w:val="24"/>
          <w:szCs w:val="24"/>
        </w:rPr>
        <w:t>) х 70 мг/м</w:t>
      </w:r>
      <w:r w:rsidRPr="00277CC7">
        <w:rPr>
          <w:rFonts w:ascii="Times New Roman" w:hAnsi="Times New Roman"/>
          <w:sz w:val="24"/>
          <w:szCs w:val="24"/>
          <w:vertAlign w:val="superscript"/>
        </w:rPr>
        <w:t>2</w:t>
      </w:r>
      <w:r w:rsidRPr="00277CC7">
        <w:rPr>
          <w:rFonts w:ascii="Times New Roman" w:hAnsi="Times New Roman"/>
          <w:sz w:val="24"/>
          <w:szCs w:val="24"/>
        </w:rPr>
        <w:t xml:space="preserve"> = нагрузочная доза.</w:t>
      </w:r>
    </w:p>
    <w:p w14:paraId="60D0C3D8" w14:textId="77777777" w:rsidR="00277CC7" w:rsidRPr="00277CC7" w:rsidRDefault="00277CC7" w:rsidP="004336FF">
      <w:pPr>
        <w:tabs>
          <w:tab w:val="left" w:pos="709"/>
        </w:tabs>
        <w:spacing w:after="0" w:line="20" w:lineRule="atLeast"/>
        <w:ind w:right="-20"/>
        <w:jc w:val="both"/>
        <w:rPr>
          <w:rFonts w:ascii="Times New Roman" w:hAnsi="Times New Roman"/>
          <w:sz w:val="24"/>
          <w:szCs w:val="24"/>
        </w:rPr>
      </w:pPr>
      <w:r w:rsidRPr="00277CC7">
        <w:rPr>
          <w:rFonts w:ascii="Times New Roman" w:hAnsi="Times New Roman"/>
          <w:sz w:val="24"/>
          <w:szCs w:val="24"/>
        </w:rPr>
        <w:t>Максимальная нагрузочная доза в 1</w:t>
      </w:r>
      <w:r w:rsidRPr="00277CC7">
        <w:rPr>
          <w:rFonts w:ascii="Times New Roman" w:hAnsi="Times New Roman"/>
          <w:sz w:val="24"/>
          <w:szCs w:val="24"/>
          <w:vertAlign w:val="superscript"/>
        </w:rPr>
        <w:t>ый</w:t>
      </w:r>
      <w:r w:rsidRPr="00277CC7">
        <w:rPr>
          <w:rFonts w:ascii="Times New Roman" w:hAnsi="Times New Roman"/>
          <w:sz w:val="24"/>
          <w:szCs w:val="24"/>
        </w:rPr>
        <w:t xml:space="preserve"> день не должна превышать 70 мг, независимо от рассчитанной дозы для пациента.</w:t>
      </w:r>
    </w:p>
    <w:p w14:paraId="43F61467" w14:textId="77777777" w:rsidR="00277CC7" w:rsidRPr="00277CC7" w:rsidRDefault="00277CC7" w:rsidP="004336FF">
      <w:pPr>
        <w:pStyle w:val="ab"/>
        <w:widowControl w:val="0"/>
        <w:numPr>
          <w:ilvl w:val="0"/>
          <w:numId w:val="26"/>
        </w:numPr>
        <w:tabs>
          <w:tab w:val="left" w:pos="709"/>
        </w:tabs>
        <w:spacing w:after="0" w:line="20" w:lineRule="atLeast"/>
        <w:ind w:left="0" w:right="-20" w:hanging="284"/>
        <w:jc w:val="both"/>
        <w:rPr>
          <w:rFonts w:ascii="Times New Roman" w:hAnsi="Times New Roman"/>
          <w:sz w:val="24"/>
          <w:szCs w:val="24"/>
        </w:rPr>
      </w:pPr>
      <w:r w:rsidRPr="00277CC7">
        <w:rPr>
          <w:rFonts w:ascii="Times New Roman" w:hAnsi="Times New Roman"/>
          <w:sz w:val="24"/>
          <w:szCs w:val="24"/>
        </w:rPr>
        <w:t>Доведите охлажденный флакон Касфоцина до комнатной температуры.</w:t>
      </w:r>
    </w:p>
    <w:p w14:paraId="52799293" w14:textId="77777777" w:rsidR="00277CC7" w:rsidRPr="00277CC7" w:rsidRDefault="00277CC7" w:rsidP="004336FF">
      <w:pPr>
        <w:pStyle w:val="ab"/>
        <w:widowControl w:val="0"/>
        <w:numPr>
          <w:ilvl w:val="0"/>
          <w:numId w:val="26"/>
        </w:numPr>
        <w:tabs>
          <w:tab w:val="left" w:pos="709"/>
        </w:tabs>
        <w:spacing w:after="0" w:line="20" w:lineRule="atLeast"/>
        <w:ind w:left="0" w:right="-20" w:hanging="284"/>
        <w:jc w:val="both"/>
        <w:rPr>
          <w:rFonts w:ascii="Times New Roman" w:hAnsi="Times New Roman"/>
          <w:sz w:val="24"/>
          <w:szCs w:val="24"/>
        </w:rPr>
      </w:pPr>
      <w:r w:rsidRPr="00277CC7">
        <w:rPr>
          <w:rFonts w:ascii="Times New Roman" w:hAnsi="Times New Roman"/>
          <w:sz w:val="24"/>
          <w:szCs w:val="24"/>
        </w:rPr>
        <w:t xml:space="preserve">Соблюдая стерильность, добавьте 10,5 мл воды для инъекций. </w:t>
      </w:r>
    </w:p>
    <w:p w14:paraId="1CF90578" w14:textId="77777777" w:rsidR="00277CC7" w:rsidRPr="00277CC7" w:rsidRDefault="00277CC7" w:rsidP="004336FF">
      <w:pPr>
        <w:pStyle w:val="ab"/>
        <w:tabs>
          <w:tab w:val="left" w:pos="709"/>
        </w:tabs>
        <w:spacing w:after="0" w:line="20" w:lineRule="atLeast"/>
        <w:ind w:left="0" w:right="-20"/>
        <w:jc w:val="both"/>
        <w:rPr>
          <w:rFonts w:ascii="Times New Roman" w:hAnsi="Times New Roman"/>
          <w:sz w:val="24"/>
          <w:szCs w:val="24"/>
        </w:rPr>
      </w:pPr>
      <w:r w:rsidRPr="00277CC7">
        <w:rPr>
          <w:rFonts w:ascii="Times New Roman" w:hAnsi="Times New Roman"/>
          <w:sz w:val="24"/>
          <w:szCs w:val="24"/>
        </w:rPr>
        <w:t>a/ Данный восстановленный раствор можно хранить до 24 часов при температуре 25°C или ниже. b/ Это поможет получить конечную концентрацию каспофунгина во флаконе, равную 5,2 мг/мл (при использовании флакона 50 мг).</w:t>
      </w:r>
    </w:p>
    <w:p w14:paraId="18538DEF" w14:textId="77777777" w:rsidR="00277CC7" w:rsidRPr="00277CC7" w:rsidRDefault="00277CC7" w:rsidP="004336FF">
      <w:pPr>
        <w:pStyle w:val="ab"/>
        <w:widowControl w:val="0"/>
        <w:numPr>
          <w:ilvl w:val="0"/>
          <w:numId w:val="26"/>
        </w:numPr>
        <w:tabs>
          <w:tab w:val="left" w:pos="709"/>
        </w:tabs>
        <w:spacing w:after="0" w:line="20" w:lineRule="atLeast"/>
        <w:ind w:left="0" w:right="-20" w:hanging="284"/>
        <w:jc w:val="both"/>
        <w:rPr>
          <w:rFonts w:ascii="Times New Roman" w:hAnsi="Times New Roman"/>
          <w:sz w:val="24"/>
          <w:szCs w:val="24"/>
        </w:rPr>
      </w:pPr>
      <w:r w:rsidRPr="00277CC7">
        <w:rPr>
          <w:rFonts w:ascii="Times New Roman" w:hAnsi="Times New Roman"/>
          <w:sz w:val="24"/>
          <w:szCs w:val="24"/>
        </w:rPr>
        <w:t>Извлеките из флакона объем препарата равный рассчитанной нагрузочной дозе (Шаг 1). c/ Соблюдая стерильность, перенесите данный объем (мл) восстановленного Касфоцина в мешок (или флакон) для в/в инфузий, содержащий 250 мл 0,9 %, 0,45 % или 0,225 % физиологического раствора для инъекций или раствора Рингера с лактатом. Или объем (мл) восстановленного Касфоцина можно добавить к уменьшенному объему 0,9 %, 0,45 % или 0,225 % физиологического раствора для инъекций или раствора Рингера с лактатом, не превышая конечной концентрации 0,5 мг/мл. Данный раствор для инфузий необходимо использовать в течение 24 часов при хранении при температуре 25°C или ниже, или в течение 48 часов при хранении охлажденным до температуры от 2 до 8°C.</w:t>
      </w:r>
    </w:p>
    <w:p w14:paraId="5878CC49" w14:textId="77777777" w:rsidR="00277CC7" w:rsidRPr="00277CC7" w:rsidRDefault="00277CC7" w:rsidP="00277CC7">
      <w:pPr>
        <w:spacing w:after="0" w:line="20" w:lineRule="atLeast"/>
        <w:ind w:left="142" w:right="-20"/>
        <w:rPr>
          <w:rFonts w:ascii="Times New Roman" w:hAnsi="Times New Roman"/>
          <w:b/>
          <w:i/>
          <w:sz w:val="24"/>
          <w:szCs w:val="24"/>
          <w:u w:val="single"/>
        </w:rPr>
      </w:pPr>
    </w:p>
    <w:p w14:paraId="2D41EAC8" w14:textId="77777777" w:rsidR="00277CC7" w:rsidRPr="00277CC7" w:rsidRDefault="00277CC7" w:rsidP="004336FF">
      <w:pPr>
        <w:spacing w:after="0" w:line="20" w:lineRule="atLeast"/>
        <w:ind w:right="-20"/>
        <w:rPr>
          <w:rFonts w:ascii="Times New Roman" w:hAnsi="Times New Roman"/>
          <w:b/>
          <w:i/>
          <w:sz w:val="24"/>
          <w:szCs w:val="24"/>
          <w:u w:val="single"/>
        </w:rPr>
      </w:pPr>
      <w:r w:rsidRPr="00277CC7">
        <w:rPr>
          <w:rFonts w:ascii="Times New Roman" w:hAnsi="Times New Roman"/>
          <w:b/>
          <w:i/>
          <w:sz w:val="24"/>
          <w:szCs w:val="24"/>
          <w:u w:val="single"/>
        </w:rPr>
        <w:t>Приготовление инфузионного раствора 50 мг/м</w:t>
      </w:r>
      <w:r w:rsidRPr="00277CC7">
        <w:rPr>
          <w:rFonts w:ascii="Times New Roman" w:hAnsi="Times New Roman"/>
          <w:b/>
          <w:i/>
          <w:sz w:val="24"/>
          <w:szCs w:val="24"/>
          <w:u w:val="single"/>
          <w:vertAlign w:val="superscript"/>
        </w:rPr>
        <w:t>2</w:t>
      </w:r>
      <w:r w:rsidRPr="00277CC7">
        <w:rPr>
          <w:rFonts w:ascii="Times New Roman" w:hAnsi="Times New Roman"/>
          <w:b/>
          <w:i/>
          <w:sz w:val="24"/>
          <w:szCs w:val="24"/>
          <w:u w:val="single"/>
        </w:rPr>
        <w:t xml:space="preserve"> для детей в возрасте &gt;3 месяцев (с использованием флакона 50 мг)</w:t>
      </w:r>
    </w:p>
    <w:p w14:paraId="54D8C176" w14:textId="77777777" w:rsidR="00277CC7" w:rsidRPr="00277CC7" w:rsidRDefault="00277CC7" w:rsidP="004336FF">
      <w:pPr>
        <w:pStyle w:val="ab"/>
        <w:widowControl w:val="0"/>
        <w:numPr>
          <w:ilvl w:val="0"/>
          <w:numId w:val="27"/>
        </w:numPr>
        <w:tabs>
          <w:tab w:val="left" w:pos="851"/>
        </w:tabs>
        <w:spacing w:after="0" w:line="20" w:lineRule="atLeast"/>
        <w:ind w:left="0" w:right="-20" w:hanging="361"/>
        <w:jc w:val="both"/>
        <w:rPr>
          <w:rFonts w:ascii="Times New Roman" w:hAnsi="Times New Roman"/>
          <w:sz w:val="24"/>
          <w:szCs w:val="24"/>
        </w:rPr>
      </w:pPr>
      <w:r w:rsidRPr="00277CC7">
        <w:rPr>
          <w:rFonts w:ascii="Times New Roman" w:hAnsi="Times New Roman"/>
          <w:sz w:val="24"/>
          <w:szCs w:val="24"/>
        </w:rPr>
        <w:t>Определите фактическую суточную поддерживающую дозу для ребенка</w:t>
      </w:r>
      <w:r>
        <w:rPr>
          <w:rFonts w:ascii="Times New Roman" w:hAnsi="Times New Roman"/>
          <w:sz w:val="24"/>
          <w:szCs w:val="24"/>
        </w:rPr>
        <w:t xml:space="preserve"> с </w:t>
      </w:r>
      <w:r w:rsidRPr="00277CC7">
        <w:rPr>
          <w:rFonts w:ascii="Times New Roman" w:hAnsi="Times New Roman"/>
          <w:sz w:val="24"/>
          <w:szCs w:val="24"/>
        </w:rPr>
        <w:t>помощью ППТ пациента (рассчитанную выше) по следующей формуле:</w:t>
      </w:r>
    </w:p>
    <w:p w14:paraId="1A82BEA9" w14:textId="42DBCC87" w:rsidR="00277CC7" w:rsidRPr="00277CC7" w:rsidRDefault="00277CC7" w:rsidP="004336FF">
      <w:pPr>
        <w:tabs>
          <w:tab w:val="left" w:pos="820"/>
        </w:tabs>
        <w:spacing w:after="0" w:line="20" w:lineRule="atLeast"/>
        <w:ind w:right="-20" w:hanging="284"/>
        <w:jc w:val="both"/>
        <w:rPr>
          <w:rFonts w:ascii="Times New Roman" w:hAnsi="Times New Roman"/>
          <w:sz w:val="24"/>
          <w:szCs w:val="24"/>
        </w:rPr>
      </w:pPr>
      <w:r w:rsidRPr="00277CC7">
        <w:rPr>
          <w:rFonts w:ascii="Times New Roman" w:hAnsi="Times New Roman"/>
          <w:sz w:val="24"/>
          <w:szCs w:val="24"/>
        </w:rPr>
        <w:t xml:space="preserve">     ППТ (м</w:t>
      </w:r>
      <w:r w:rsidRPr="00277CC7">
        <w:rPr>
          <w:rFonts w:ascii="Times New Roman" w:hAnsi="Times New Roman"/>
          <w:sz w:val="24"/>
          <w:szCs w:val="24"/>
          <w:vertAlign w:val="superscript"/>
        </w:rPr>
        <w:t>2</w:t>
      </w:r>
      <w:r w:rsidRPr="00277CC7">
        <w:rPr>
          <w:rFonts w:ascii="Times New Roman" w:hAnsi="Times New Roman"/>
          <w:sz w:val="24"/>
          <w:szCs w:val="24"/>
        </w:rPr>
        <w:t>) х 50 мг/м</w:t>
      </w:r>
      <w:r w:rsidRPr="00277CC7">
        <w:rPr>
          <w:rFonts w:ascii="Times New Roman" w:hAnsi="Times New Roman"/>
          <w:sz w:val="24"/>
          <w:szCs w:val="24"/>
          <w:vertAlign w:val="superscript"/>
        </w:rPr>
        <w:t>2</w:t>
      </w:r>
      <w:r w:rsidRPr="00277CC7">
        <w:rPr>
          <w:rFonts w:ascii="Times New Roman" w:hAnsi="Times New Roman"/>
          <w:sz w:val="24"/>
          <w:szCs w:val="24"/>
        </w:rPr>
        <w:t xml:space="preserve"> = суточная поддерживающая доза </w:t>
      </w:r>
    </w:p>
    <w:p w14:paraId="24D9175D" w14:textId="77777777" w:rsidR="00277CC7" w:rsidRPr="00277CC7" w:rsidRDefault="00277CC7" w:rsidP="004336FF">
      <w:pPr>
        <w:tabs>
          <w:tab w:val="left" w:pos="820"/>
        </w:tabs>
        <w:spacing w:after="0" w:line="20" w:lineRule="atLeast"/>
        <w:ind w:right="-20" w:hanging="567"/>
        <w:jc w:val="both"/>
        <w:rPr>
          <w:rFonts w:ascii="Times New Roman" w:hAnsi="Times New Roman"/>
          <w:sz w:val="24"/>
          <w:szCs w:val="24"/>
        </w:rPr>
      </w:pPr>
      <w:r w:rsidRPr="00277CC7">
        <w:rPr>
          <w:rFonts w:ascii="Times New Roman" w:hAnsi="Times New Roman"/>
          <w:sz w:val="24"/>
          <w:szCs w:val="24"/>
        </w:rPr>
        <w:t xml:space="preserve">          Суточная поддерживающая доза не должна превышать 70 мг, независимо от рассчитанной дозы для пациента.</w:t>
      </w:r>
    </w:p>
    <w:p w14:paraId="37620694" w14:textId="77777777" w:rsidR="00277CC7" w:rsidRPr="00277CC7" w:rsidRDefault="00277CC7" w:rsidP="004336FF">
      <w:pPr>
        <w:pStyle w:val="ab"/>
        <w:widowControl w:val="0"/>
        <w:numPr>
          <w:ilvl w:val="0"/>
          <w:numId w:val="27"/>
        </w:numPr>
        <w:tabs>
          <w:tab w:val="left" w:pos="820"/>
        </w:tabs>
        <w:spacing w:after="0" w:line="20" w:lineRule="atLeast"/>
        <w:ind w:left="0" w:right="-20"/>
        <w:jc w:val="both"/>
        <w:rPr>
          <w:rFonts w:ascii="Times New Roman" w:hAnsi="Times New Roman"/>
          <w:sz w:val="24"/>
          <w:szCs w:val="24"/>
        </w:rPr>
      </w:pPr>
      <w:r w:rsidRPr="00277CC7">
        <w:rPr>
          <w:rFonts w:ascii="Times New Roman" w:hAnsi="Times New Roman"/>
          <w:sz w:val="24"/>
          <w:szCs w:val="24"/>
        </w:rPr>
        <w:t>Доведите охлажденный флакон Касфоцина до комнатной температуры.</w:t>
      </w:r>
    </w:p>
    <w:p w14:paraId="46A333A8" w14:textId="77777777" w:rsidR="00277CC7" w:rsidRPr="00277CC7" w:rsidRDefault="00277CC7" w:rsidP="004336FF">
      <w:pPr>
        <w:pStyle w:val="ab"/>
        <w:widowControl w:val="0"/>
        <w:numPr>
          <w:ilvl w:val="0"/>
          <w:numId w:val="27"/>
        </w:numPr>
        <w:tabs>
          <w:tab w:val="left" w:pos="820"/>
        </w:tabs>
        <w:spacing w:after="0" w:line="20" w:lineRule="atLeast"/>
        <w:ind w:left="0" w:right="-20"/>
        <w:jc w:val="both"/>
        <w:rPr>
          <w:rFonts w:ascii="Times New Roman" w:hAnsi="Times New Roman"/>
          <w:sz w:val="24"/>
          <w:szCs w:val="24"/>
        </w:rPr>
      </w:pPr>
      <w:r w:rsidRPr="00277CC7">
        <w:rPr>
          <w:rFonts w:ascii="Times New Roman" w:hAnsi="Times New Roman"/>
          <w:sz w:val="24"/>
          <w:szCs w:val="24"/>
        </w:rPr>
        <w:t xml:space="preserve">Соблюдая стерильность, добавьте 10,5 мл воды для инъекций.  </w:t>
      </w:r>
    </w:p>
    <w:p w14:paraId="7E019057" w14:textId="77777777" w:rsidR="00277CC7" w:rsidRPr="00277CC7" w:rsidRDefault="00277CC7" w:rsidP="004336FF">
      <w:pPr>
        <w:pStyle w:val="ab"/>
        <w:tabs>
          <w:tab w:val="left" w:pos="820"/>
        </w:tabs>
        <w:spacing w:after="0" w:line="20" w:lineRule="atLeast"/>
        <w:ind w:left="0" w:right="-20"/>
        <w:jc w:val="both"/>
        <w:rPr>
          <w:rFonts w:ascii="Times New Roman" w:hAnsi="Times New Roman"/>
          <w:sz w:val="24"/>
          <w:szCs w:val="24"/>
        </w:rPr>
      </w:pPr>
      <w:r w:rsidRPr="00277CC7">
        <w:rPr>
          <w:rFonts w:ascii="Times New Roman" w:hAnsi="Times New Roman"/>
          <w:sz w:val="24"/>
          <w:szCs w:val="24"/>
        </w:rPr>
        <w:t xml:space="preserve">a/ Данный восстановленный раствор можно хранить до 24 часов при температуре 25°C или ниже. b/ Это поможет получить конечную концентрацию каспофунгина во флаконе, равную 5,2 мг/мл. </w:t>
      </w:r>
    </w:p>
    <w:p w14:paraId="1D0B516B" w14:textId="77777777" w:rsidR="00277CC7" w:rsidRPr="00277CC7" w:rsidRDefault="00277CC7" w:rsidP="004336FF">
      <w:pPr>
        <w:pStyle w:val="ab"/>
        <w:widowControl w:val="0"/>
        <w:numPr>
          <w:ilvl w:val="0"/>
          <w:numId w:val="27"/>
        </w:numPr>
        <w:tabs>
          <w:tab w:val="left" w:pos="820"/>
        </w:tabs>
        <w:spacing w:after="0" w:line="20" w:lineRule="atLeast"/>
        <w:ind w:left="0" w:right="-20"/>
        <w:jc w:val="both"/>
        <w:rPr>
          <w:rFonts w:ascii="Times New Roman" w:hAnsi="Times New Roman"/>
          <w:sz w:val="24"/>
          <w:szCs w:val="24"/>
        </w:rPr>
      </w:pPr>
      <w:r w:rsidRPr="00277CC7">
        <w:rPr>
          <w:rFonts w:ascii="Times New Roman" w:hAnsi="Times New Roman"/>
          <w:sz w:val="24"/>
          <w:szCs w:val="24"/>
        </w:rPr>
        <w:t>Извлеките из флакона объем препарата, равный рассчитанной суточной поддерживающей дозе (Шаг 1). с/ Соблюдая стерильность, перенесите данный объем (мл) восстановленного Касфоцина в мешок (или флакон) для в/в инфузий, содержащий 250 мл 0,9 %, 0,45 % или 0,225 % физиологического раствора для инъекций или раствора Рингера с лактатом. Или объем (мл) восстановленного Касфоцина можно добавить к уменьшенному объему 0,9 %, 0,45</w:t>
      </w:r>
      <w:r w:rsidRPr="00277CC7">
        <w:rPr>
          <w:rFonts w:ascii="Times New Roman" w:hAnsi="Times New Roman"/>
          <w:sz w:val="24"/>
          <w:szCs w:val="24"/>
          <w:lang w:val="en-US"/>
        </w:rPr>
        <w:t> </w:t>
      </w:r>
      <w:r w:rsidRPr="00277CC7">
        <w:rPr>
          <w:rFonts w:ascii="Times New Roman" w:hAnsi="Times New Roman"/>
          <w:sz w:val="24"/>
          <w:szCs w:val="24"/>
        </w:rPr>
        <w:t>% или 0,225</w:t>
      </w:r>
      <w:r w:rsidRPr="00277CC7">
        <w:rPr>
          <w:rFonts w:ascii="Times New Roman" w:hAnsi="Times New Roman"/>
          <w:sz w:val="24"/>
          <w:szCs w:val="24"/>
          <w:lang w:val="en-US"/>
        </w:rPr>
        <w:t> </w:t>
      </w:r>
      <w:r w:rsidRPr="00277CC7">
        <w:rPr>
          <w:rFonts w:ascii="Times New Roman" w:hAnsi="Times New Roman"/>
          <w:sz w:val="24"/>
          <w:szCs w:val="24"/>
        </w:rPr>
        <w:t>% физиологического раствора для инъекций или раствора Рингера с лактатом, не превышая конечной концентрации 0,5 мг/мл. Данный раствор для инфузий необходимо использовать в течение 24 часов при хранении при температуре 25°C или ниже, или в течение 48 часов при хранении охлажденным до температуры от 2 до 8°C.</w:t>
      </w:r>
    </w:p>
    <w:p w14:paraId="563F3A6E" w14:textId="77777777" w:rsidR="00277CC7" w:rsidRPr="00277CC7" w:rsidRDefault="00277CC7" w:rsidP="00277CC7">
      <w:pPr>
        <w:pStyle w:val="ab"/>
        <w:tabs>
          <w:tab w:val="left" w:pos="820"/>
        </w:tabs>
        <w:spacing w:after="0" w:line="20" w:lineRule="atLeast"/>
        <w:ind w:left="928" w:right="-20"/>
        <w:jc w:val="both"/>
        <w:rPr>
          <w:rFonts w:ascii="Times New Roman" w:hAnsi="Times New Roman"/>
          <w:sz w:val="24"/>
          <w:szCs w:val="24"/>
        </w:rPr>
      </w:pPr>
    </w:p>
    <w:p w14:paraId="277883DC" w14:textId="77777777" w:rsidR="003843BA" w:rsidRPr="0061557D" w:rsidRDefault="003843BA" w:rsidP="003843BA">
      <w:pPr>
        <w:pBdr>
          <w:top w:val="single" w:sz="4" w:space="1" w:color="auto"/>
          <w:left w:val="single" w:sz="4" w:space="4" w:color="auto"/>
          <w:bottom w:val="single" w:sz="4" w:space="1" w:color="auto"/>
          <w:right w:val="single" w:sz="4" w:space="4" w:color="auto"/>
        </w:pBdr>
        <w:spacing w:after="0" w:line="20" w:lineRule="atLeast"/>
        <w:ind w:left="142" w:right="-20"/>
        <w:jc w:val="both"/>
        <w:rPr>
          <w:rFonts w:ascii="Times New Roman" w:hAnsi="Times New Roman"/>
          <w:b/>
        </w:rPr>
      </w:pPr>
      <w:r w:rsidRPr="0061557D">
        <w:rPr>
          <w:rFonts w:ascii="Times New Roman" w:hAnsi="Times New Roman"/>
          <w:b/>
        </w:rPr>
        <w:t>Примечания по приготовлению:</w:t>
      </w:r>
    </w:p>
    <w:p w14:paraId="55676490" w14:textId="77777777" w:rsidR="003843BA" w:rsidRPr="0061557D" w:rsidRDefault="003843BA" w:rsidP="003843BA">
      <w:pPr>
        <w:pStyle w:val="ab"/>
        <w:widowControl w:val="0"/>
        <w:numPr>
          <w:ilvl w:val="0"/>
          <w:numId w:val="28"/>
        </w:numPr>
        <w:pBdr>
          <w:top w:val="single" w:sz="4" w:space="1" w:color="auto"/>
          <w:left w:val="single" w:sz="4" w:space="4" w:color="auto"/>
          <w:bottom w:val="single" w:sz="4" w:space="1" w:color="auto"/>
          <w:right w:val="single" w:sz="4" w:space="4" w:color="auto"/>
        </w:pBdr>
        <w:spacing w:after="0" w:line="20" w:lineRule="atLeast"/>
        <w:ind w:left="426" w:right="-20" w:hanging="284"/>
        <w:jc w:val="both"/>
        <w:rPr>
          <w:rFonts w:ascii="Times New Roman" w:eastAsia="Times New Roman" w:hAnsi="Times New Roman"/>
        </w:rPr>
      </w:pPr>
      <w:r w:rsidRPr="0061557D">
        <w:rPr>
          <w:rFonts w:ascii="Times New Roman" w:hAnsi="Times New Roman"/>
        </w:rPr>
        <w:t xml:space="preserve">Белая или почти белая лепешка (или порошок) должна раствориться полностью. </w:t>
      </w:r>
      <w:r w:rsidRPr="0061557D">
        <w:rPr>
          <w:rFonts w:ascii="Times New Roman" w:hAnsi="Times New Roman"/>
        </w:rPr>
        <w:lastRenderedPageBreak/>
        <w:t>Осторожно перемешайте, пока не будет получен прозрачный раствор.</w:t>
      </w:r>
    </w:p>
    <w:p w14:paraId="7A89D9C0" w14:textId="77777777" w:rsidR="003843BA" w:rsidRPr="0061557D" w:rsidRDefault="003843BA" w:rsidP="003843BA">
      <w:pPr>
        <w:pStyle w:val="ab"/>
        <w:widowControl w:val="0"/>
        <w:numPr>
          <w:ilvl w:val="0"/>
          <w:numId w:val="28"/>
        </w:numPr>
        <w:pBdr>
          <w:top w:val="single" w:sz="4" w:space="1" w:color="auto"/>
          <w:left w:val="single" w:sz="4" w:space="4" w:color="auto"/>
          <w:bottom w:val="single" w:sz="4" w:space="1" w:color="auto"/>
          <w:right w:val="single" w:sz="4" w:space="4" w:color="auto"/>
        </w:pBdr>
        <w:spacing w:after="0" w:line="20" w:lineRule="atLeast"/>
        <w:ind w:left="426" w:right="-20" w:hanging="284"/>
        <w:jc w:val="both"/>
        <w:rPr>
          <w:rFonts w:ascii="Times New Roman" w:eastAsia="Times New Roman" w:hAnsi="Times New Roman"/>
        </w:rPr>
      </w:pPr>
      <w:r w:rsidRPr="0061557D">
        <w:rPr>
          <w:rFonts w:ascii="Times New Roman" w:hAnsi="Times New Roman"/>
        </w:rPr>
        <w:t>Визуально изучите восстановленный раствор на наличие твердых примесей или изменение цвета во время восстановления или перед инфузией. Не использовать, если раствор мутный или образовался осадок.</w:t>
      </w:r>
    </w:p>
    <w:p w14:paraId="15739B1B" w14:textId="77777777" w:rsidR="003843BA" w:rsidRPr="0061557D" w:rsidRDefault="003843BA" w:rsidP="003843BA">
      <w:pPr>
        <w:pStyle w:val="ab"/>
        <w:widowControl w:val="0"/>
        <w:numPr>
          <w:ilvl w:val="0"/>
          <w:numId w:val="28"/>
        </w:numPr>
        <w:pBdr>
          <w:top w:val="single" w:sz="4" w:space="1" w:color="auto"/>
          <w:left w:val="single" w:sz="4" w:space="4" w:color="auto"/>
          <w:bottom w:val="single" w:sz="4" w:space="1" w:color="auto"/>
          <w:right w:val="single" w:sz="4" w:space="4" w:color="auto"/>
        </w:pBdr>
        <w:spacing w:after="0" w:line="20" w:lineRule="atLeast"/>
        <w:ind w:left="426" w:right="-20" w:hanging="284"/>
        <w:jc w:val="both"/>
        <w:rPr>
          <w:rFonts w:ascii="Times New Roman" w:eastAsia="Times New Roman" w:hAnsi="Times New Roman"/>
        </w:rPr>
      </w:pPr>
      <w:r w:rsidRPr="0061557D">
        <w:rPr>
          <w:rFonts w:ascii="Times New Roman" w:hAnsi="Times New Roman"/>
        </w:rPr>
        <w:t>Содержимое флакона с указанной дозой Касфоцина обеспечивает полную суточную дозу (50 мг) при извлечении 10 мл восстановленного раствора из флакона.</w:t>
      </w:r>
    </w:p>
    <w:p w14:paraId="46C42F11" w14:textId="77777777" w:rsidR="00277CC7" w:rsidRPr="00277CC7" w:rsidRDefault="00277CC7" w:rsidP="00277CC7">
      <w:pPr>
        <w:spacing w:after="0" w:line="20" w:lineRule="atLeast"/>
        <w:ind w:left="142" w:right="-20"/>
        <w:jc w:val="both"/>
        <w:rPr>
          <w:rFonts w:ascii="Times New Roman" w:hAnsi="Times New Roman"/>
          <w:sz w:val="24"/>
          <w:szCs w:val="24"/>
        </w:rPr>
      </w:pPr>
    </w:p>
    <w:p w14:paraId="6F4E8527" w14:textId="77777777" w:rsidR="00277CC7" w:rsidRPr="00277CC7" w:rsidRDefault="00277CC7" w:rsidP="00D02AC6">
      <w:pPr>
        <w:pStyle w:val="5"/>
        <w:tabs>
          <w:tab w:val="left" w:pos="9540"/>
        </w:tabs>
        <w:spacing w:before="0" w:after="0" w:line="20" w:lineRule="atLeast"/>
        <w:jc w:val="both"/>
        <w:rPr>
          <w:rFonts w:ascii="Times New Roman" w:hAnsi="Times New Roman"/>
          <w:bCs w:val="0"/>
          <w:sz w:val="24"/>
          <w:szCs w:val="24"/>
        </w:rPr>
      </w:pPr>
      <w:r w:rsidRPr="00277CC7">
        <w:rPr>
          <w:rFonts w:ascii="Times New Roman" w:hAnsi="Times New Roman"/>
          <w:bCs w:val="0"/>
          <w:sz w:val="24"/>
          <w:szCs w:val="24"/>
        </w:rPr>
        <w:t xml:space="preserve">Касфоцин, лиофилизат для приготовления концентрата, предназначенного для получения раствора для инфузий для получения дозы 70 мг (с использованием флакона 50 мг) </w:t>
      </w:r>
    </w:p>
    <w:p w14:paraId="32570B2D" w14:textId="77777777" w:rsidR="00277CC7" w:rsidRPr="00277CC7" w:rsidRDefault="00277CC7" w:rsidP="00277CC7">
      <w:pPr>
        <w:spacing w:after="0" w:line="20" w:lineRule="atLeast"/>
        <w:rPr>
          <w:rFonts w:ascii="Times New Roman" w:hAnsi="Times New Roman"/>
          <w:sz w:val="24"/>
          <w:szCs w:val="24"/>
        </w:rPr>
      </w:pPr>
    </w:p>
    <w:p w14:paraId="5054874D" w14:textId="77777777" w:rsidR="00277CC7" w:rsidRPr="00277CC7" w:rsidRDefault="00277CC7" w:rsidP="00277CC7">
      <w:pPr>
        <w:spacing w:after="0" w:line="20" w:lineRule="atLeast"/>
        <w:jc w:val="center"/>
        <w:rPr>
          <w:rFonts w:ascii="Times New Roman" w:hAnsi="Times New Roman"/>
          <w:b/>
          <w:i/>
          <w:sz w:val="24"/>
          <w:szCs w:val="24"/>
          <w:u w:val="single"/>
        </w:rPr>
      </w:pPr>
      <w:r w:rsidRPr="00277CC7">
        <w:rPr>
          <w:rFonts w:ascii="Times New Roman" w:hAnsi="Times New Roman"/>
          <w:b/>
          <w:i/>
          <w:sz w:val="24"/>
          <w:szCs w:val="24"/>
          <w:u w:val="single"/>
        </w:rPr>
        <w:t>Указания по применению у взрослых пациентов</w:t>
      </w:r>
    </w:p>
    <w:p w14:paraId="55D77987" w14:textId="77777777" w:rsidR="00277CC7" w:rsidRPr="00277CC7" w:rsidRDefault="00277CC7" w:rsidP="00277CC7">
      <w:pPr>
        <w:spacing w:after="0" w:line="20" w:lineRule="atLeast"/>
        <w:jc w:val="center"/>
        <w:rPr>
          <w:rFonts w:ascii="Times New Roman" w:hAnsi="Times New Roman"/>
          <w:b/>
          <w:i/>
          <w:sz w:val="24"/>
          <w:szCs w:val="24"/>
          <w:u w:val="single"/>
        </w:rPr>
      </w:pPr>
    </w:p>
    <w:p w14:paraId="465E00BE" w14:textId="77777777" w:rsidR="00277CC7" w:rsidRPr="00277CC7" w:rsidRDefault="00277CC7" w:rsidP="00277CC7">
      <w:pPr>
        <w:spacing w:after="0" w:line="20" w:lineRule="atLeast"/>
        <w:jc w:val="both"/>
        <w:rPr>
          <w:rFonts w:ascii="Times New Roman" w:hAnsi="Times New Roman"/>
          <w:i/>
          <w:sz w:val="24"/>
          <w:szCs w:val="24"/>
        </w:rPr>
      </w:pPr>
      <w:r w:rsidRPr="00277CC7">
        <w:rPr>
          <w:rFonts w:ascii="Times New Roman" w:hAnsi="Times New Roman"/>
          <w:i/>
          <w:sz w:val="24"/>
          <w:szCs w:val="24"/>
        </w:rPr>
        <w:t>Шаг 1. Приготовление первичного раствора (восстановленного) во флаконе</w:t>
      </w:r>
    </w:p>
    <w:p w14:paraId="1F4F448E" w14:textId="77777777" w:rsidR="00277CC7" w:rsidRPr="00277CC7" w:rsidRDefault="00277CC7" w:rsidP="00277CC7">
      <w:pPr>
        <w:spacing w:after="0" w:line="20" w:lineRule="atLeast"/>
        <w:ind w:right="-20"/>
        <w:jc w:val="both"/>
        <w:rPr>
          <w:rFonts w:ascii="Times New Roman" w:hAnsi="Times New Roman"/>
          <w:bCs/>
          <w:i/>
          <w:iCs/>
          <w:sz w:val="24"/>
          <w:szCs w:val="24"/>
        </w:rPr>
      </w:pPr>
      <w:r w:rsidRPr="00277CC7">
        <w:rPr>
          <w:rFonts w:ascii="Times New Roman" w:hAnsi="Times New Roman"/>
          <w:bCs/>
          <w:iCs/>
          <w:sz w:val="24"/>
          <w:szCs w:val="24"/>
        </w:rPr>
        <w:t>Перед разведением холодный флакон с порошком Касфоцина необходимо довести до комнатной температуры и в условиях соблюдения асептики добавить 10.5 мл воды для инъекций или раствора Рингера. Концентрация препарата в первичном растворе (во флаконе 50 мг) составит 5.2 мг/мл.</w:t>
      </w:r>
    </w:p>
    <w:p w14:paraId="3F05B2A9" w14:textId="77777777" w:rsidR="00277CC7" w:rsidRPr="00277CC7" w:rsidRDefault="00277CC7" w:rsidP="00277CC7">
      <w:pPr>
        <w:spacing w:after="0" w:line="20" w:lineRule="atLeast"/>
        <w:ind w:right="-20"/>
        <w:jc w:val="both"/>
        <w:rPr>
          <w:rFonts w:ascii="Times New Roman" w:hAnsi="Times New Roman"/>
          <w:bCs/>
          <w:iCs/>
          <w:sz w:val="24"/>
          <w:szCs w:val="24"/>
        </w:rPr>
      </w:pPr>
      <w:r w:rsidRPr="00277CC7">
        <w:rPr>
          <w:rFonts w:ascii="Times New Roman" w:hAnsi="Times New Roman"/>
          <w:bCs/>
          <w:iCs/>
          <w:sz w:val="24"/>
          <w:szCs w:val="24"/>
        </w:rPr>
        <w:t>Белый или почти белый лиофилизированный порошок должен полностью раствориться. Осторожно перемешайте содержимое флакона до получения прозрачного раствора. Восстановленный первичный раствор следует визуально проверить на наличие твердых частиц или изменения цвета. Восстановленный раствор можно хранить в течение 24 часов при температуре 25 °C и ниже.</w:t>
      </w:r>
    </w:p>
    <w:p w14:paraId="58A3C447" w14:textId="77777777" w:rsidR="00277CC7" w:rsidRPr="00277CC7" w:rsidRDefault="00277CC7" w:rsidP="00277CC7">
      <w:pPr>
        <w:spacing w:after="0" w:line="20" w:lineRule="atLeast"/>
        <w:ind w:right="-20"/>
        <w:jc w:val="both"/>
        <w:rPr>
          <w:rFonts w:ascii="Times New Roman" w:hAnsi="Times New Roman"/>
          <w:sz w:val="24"/>
          <w:szCs w:val="24"/>
        </w:rPr>
      </w:pPr>
      <w:r w:rsidRPr="00277CC7">
        <w:rPr>
          <w:rFonts w:ascii="Times New Roman" w:hAnsi="Times New Roman"/>
          <w:i/>
          <w:sz w:val="24"/>
          <w:szCs w:val="24"/>
        </w:rPr>
        <w:t>Шаг 2 Добавление восстановленного Касфоцина в раствор для инфузий</w:t>
      </w:r>
    </w:p>
    <w:p w14:paraId="1DADAB31" w14:textId="77777777" w:rsidR="00277CC7" w:rsidRPr="00277CC7" w:rsidRDefault="00277CC7" w:rsidP="00277CC7">
      <w:pPr>
        <w:spacing w:after="0" w:line="20" w:lineRule="atLeast"/>
        <w:ind w:right="-20"/>
        <w:jc w:val="both"/>
        <w:rPr>
          <w:rFonts w:ascii="Times New Roman" w:hAnsi="Times New Roman"/>
          <w:sz w:val="24"/>
          <w:szCs w:val="24"/>
        </w:rPr>
      </w:pPr>
      <w:r w:rsidRPr="00277CC7">
        <w:rPr>
          <w:rFonts w:ascii="Times New Roman" w:hAnsi="Times New Roman"/>
          <w:sz w:val="24"/>
          <w:szCs w:val="24"/>
        </w:rPr>
        <w:t>В качестве растворителей используются раствор хлорида натрия для инъекций или раствор Рингера с лактатом. Раствор для инфузии готовят путем асептического добавления соответствующего количества восстановленного концентрата (как указано в таблице 2 ниже) в инфузионный мешок или флакон объемом 250 мл. По медицинским показаниям можно применять для инфузии уменьшенный объем в 100 мл для суточных доз 50 мг или 35 мг. Не использовать, если раствор мутный или образовался осадок.</w:t>
      </w:r>
    </w:p>
    <w:p w14:paraId="2A8D30A6" w14:textId="77777777" w:rsidR="00277CC7" w:rsidRPr="00277CC7" w:rsidRDefault="00277CC7" w:rsidP="00277CC7">
      <w:pPr>
        <w:spacing w:after="0" w:line="20" w:lineRule="atLeast"/>
        <w:ind w:left="142" w:right="-20"/>
        <w:jc w:val="both"/>
        <w:rPr>
          <w:rFonts w:ascii="Times New Roman" w:hAnsi="Times New Roman"/>
          <w:i/>
          <w:sz w:val="24"/>
          <w:szCs w:val="24"/>
        </w:rPr>
      </w:pPr>
      <w:r w:rsidRPr="00277CC7">
        <w:rPr>
          <w:rFonts w:ascii="Times New Roman" w:hAnsi="Times New Roman"/>
          <w:i/>
          <w:sz w:val="24"/>
          <w:szCs w:val="24"/>
        </w:rPr>
        <w:t>Таблица 2. Приготовление конечного инфузионного раствора Касфоцина (с использованием флакона 50 мг)</w:t>
      </w:r>
    </w:p>
    <w:p w14:paraId="05900C7A" w14:textId="77777777" w:rsidR="00277CC7" w:rsidRPr="00277CC7" w:rsidRDefault="00277CC7" w:rsidP="00277CC7">
      <w:pPr>
        <w:spacing w:after="0" w:line="20" w:lineRule="atLeast"/>
        <w:rPr>
          <w:rFonts w:ascii="Times New Roman" w:hAnsi="Times New Roman"/>
          <w:i/>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119"/>
        <w:gridCol w:w="1843"/>
        <w:gridCol w:w="1701"/>
        <w:gridCol w:w="2409"/>
      </w:tblGrid>
      <w:tr w:rsidR="00277CC7" w:rsidRPr="00277CC7" w14:paraId="7CEEAC2E" w14:textId="77777777" w:rsidTr="00122958">
        <w:tc>
          <w:tcPr>
            <w:tcW w:w="3119" w:type="dxa"/>
          </w:tcPr>
          <w:p w14:paraId="023B5255" w14:textId="77777777" w:rsidR="00277CC7" w:rsidRPr="0061557D" w:rsidRDefault="00277CC7" w:rsidP="00277CC7">
            <w:pPr>
              <w:spacing w:after="0" w:line="20" w:lineRule="atLeast"/>
              <w:jc w:val="center"/>
              <w:rPr>
                <w:rFonts w:ascii="Times New Roman" w:hAnsi="Times New Roman"/>
                <w:b/>
                <w:bCs/>
              </w:rPr>
            </w:pPr>
            <w:r w:rsidRPr="0061557D">
              <w:rPr>
                <w:rFonts w:ascii="Times New Roman" w:hAnsi="Times New Roman"/>
                <w:b/>
                <w:bCs/>
              </w:rPr>
              <w:t>Доза* Касфоцина</w:t>
            </w:r>
          </w:p>
          <w:p w14:paraId="38D22839" w14:textId="77777777" w:rsidR="00277CC7" w:rsidRPr="0061557D" w:rsidRDefault="00277CC7" w:rsidP="00277CC7">
            <w:pPr>
              <w:spacing w:after="0" w:line="20" w:lineRule="atLeast"/>
              <w:rPr>
                <w:rFonts w:ascii="Times New Roman" w:hAnsi="Times New Roman"/>
                <w:b/>
                <w:bCs/>
              </w:rPr>
            </w:pPr>
          </w:p>
          <w:p w14:paraId="715DE607" w14:textId="77777777" w:rsidR="00277CC7" w:rsidRPr="0061557D" w:rsidRDefault="00277CC7" w:rsidP="00277CC7">
            <w:pPr>
              <w:spacing w:after="0" w:line="20" w:lineRule="atLeast"/>
              <w:rPr>
                <w:rFonts w:ascii="Times New Roman" w:hAnsi="Times New Roman"/>
                <w:bCs/>
              </w:rPr>
            </w:pPr>
          </w:p>
        </w:tc>
        <w:tc>
          <w:tcPr>
            <w:tcW w:w="1843" w:type="dxa"/>
          </w:tcPr>
          <w:p w14:paraId="3A4E8AC9" w14:textId="77777777" w:rsidR="00277CC7" w:rsidRPr="0061557D" w:rsidRDefault="00277CC7" w:rsidP="00277CC7">
            <w:pPr>
              <w:spacing w:after="0" w:line="20" w:lineRule="atLeast"/>
              <w:ind w:right="105"/>
              <w:jc w:val="center"/>
              <w:rPr>
                <w:rFonts w:ascii="Times New Roman" w:hAnsi="Times New Roman"/>
                <w:b/>
              </w:rPr>
            </w:pPr>
            <w:r w:rsidRPr="0061557D">
              <w:rPr>
                <w:rFonts w:ascii="Times New Roman" w:hAnsi="Times New Roman"/>
                <w:b/>
              </w:rPr>
              <w:t>Объем первичного раствора Касфоцина для добавления в емкость с растворителем для в/в инфузии</w:t>
            </w:r>
          </w:p>
        </w:tc>
        <w:tc>
          <w:tcPr>
            <w:tcW w:w="1701" w:type="dxa"/>
          </w:tcPr>
          <w:p w14:paraId="722F1EC1" w14:textId="77777777" w:rsidR="00277CC7" w:rsidRPr="0061557D" w:rsidRDefault="00277CC7" w:rsidP="00277CC7">
            <w:pPr>
              <w:spacing w:after="0" w:line="20" w:lineRule="atLeast"/>
              <w:jc w:val="center"/>
              <w:rPr>
                <w:rFonts w:ascii="Times New Roman" w:hAnsi="Times New Roman"/>
                <w:b/>
              </w:rPr>
            </w:pPr>
            <w:r w:rsidRPr="0061557D">
              <w:rPr>
                <w:rFonts w:ascii="Times New Roman" w:hAnsi="Times New Roman"/>
                <w:b/>
              </w:rPr>
              <w:t>Стандартное разведение</w:t>
            </w:r>
          </w:p>
          <w:p w14:paraId="14BBB4DF" w14:textId="77777777" w:rsidR="00277CC7" w:rsidRPr="0061557D" w:rsidRDefault="00277CC7" w:rsidP="00277CC7">
            <w:pPr>
              <w:spacing w:after="0" w:line="20" w:lineRule="atLeast"/>
              <w:ind w:left="36" w:right="47"/>
              <w:jc w:val="center"/>
              <w:rPr>
                <w:rFonts w:ascii="Times New Roman" w:hAnsi="Times New Roman"/>
              </w:rPr>
            </w:pPr>
            <w:r w:rsidRPr="0061557D">
              <w:rPr>
                <w:rFonts w:ascii="Times New Roman" w:hAnsi="Times New Roman"/>
              </w:rPr>
              <w:t xml:space="preserve">(первичный раствор Касфо-цина + 250 мл растворителя) концентрация конечного инфузионного раствора </w:t>
            </w:r>
          </w:p>
        </w:tc>
        <w:tc>
          <w:tcPr>
            <w:tcW w:w="2409" w:type="dxa"/>
          </w:tcPr>
          <w:p w14:paraId="00169214" w14:textId="77777777" w:rsidR="00277CC7" w:rsidRPr="0061557D" w:rsidRDefault="00277CC7" w:rsidP="00277CC7">
            <w:pPr>
              <w:spacing w:after="0" w:line="20" w:lineRule="atLeast"/>
              <w:ind w:right="142"/>
              <w:jc w:val="center"/>
              <w:rPr>
                <w:rFonts w:ascii="Times New Roman" w:hAnsi="Times New Roman"/>
              </w:rPr>
            </w:pPr>
            <w:r w:rsidRPr="0061557D">
              <w:rPr>
                <w:rFonts w:ascii="Times New Roman" w:hAnsi="Times New Roman"/>
                <w:b/>
              </w:rPr>
              <w:t>Разведение в уменьшенном объеме</w:t>
            </w:r>
            <w:r w:rsidRPr="0061557D">
              <w:rPr>
                <w:rFonts w:ascii="Times New Roman" w:hAnsi="Times New Roman"/>
              </w:rPr>
              <w:t xml:space="preserve"> (первичный раствор Касфоцина + 100 мл растворителя) концентрация конечного инфузионного раствора </w:t>
            </w:r>
          </w:p>
        </w:tc>
      </w:tr>
      <w:tr w:rsidR="00277CC7" w:rsidRPr="00277CC7" w14:paraId="29AC35BA" w14:textId="77777777" w:rsidTr="00122958">
        <w:tc>
          <w:tcPr>
            <w:tcW w:w="3119" w:type="dxa"/>
          </w:tcPr>
          <w:p w14:paraId="6B505346" w14:textId="77777777" w:rsidR="00277CC7" w:rsidRPr="0061557D" w:rsidRDefault="00277CC7" w:rsidP="00277CC7">
            <w:pPr>
              <w:spacing w:after="0" w:line="20" w:lineRule="atLeast"/>
              <w:jc w:val="center"/>
              <w:rPr>
                <w:rFonts w:ascii="Times New Roman" w:hAnsi="Times New Roman"/>
              </w:rPr>
            </w:pPr>
            <w:r w:rsidRPr="0061557D">
              <w:rPr>
                <w:rFonts w:ascii="Times New Roman" w:hAnsi="Times New Roman"/>
              </w:rPr>
              <w:t>70 мг (из 2 фл. по 50 мг)**</w:t>
            </w:r>
          </w:p>
        </w:tc>
        <w:tc>
          <w:tcPr>
            <w:tcW w:w="1843" w:type="dxa"/>
          </w:tcPr>
          <w:p w14:paraId="0397A7EF" w14:textId="77777777" w:rsidR="00277CC7" w:rsidRPr="0061557D" w:rsidRDefault="00277CC7" w:rsidP="00277CC7">
            <w:pPr>
              <w:spacing w:after="0" w:line="20" w:lineRule="atLeast"/>
              <w:jc w:val="center"/>
              <w:rPr>
                <w:rFonts w:ascii="Times New Roman" w:hAnsi="Times New Roman"/>
              </w:rPr>
            </w:pPr>
            <w:r w:rsidRPr="0061557D">
              <w:rPr>
                <w:rFonts w:ascii="Times New Roman" w:hAnsi="Times New Roman"/>
              </w:rPr>
              <w:t>14 мл</w:t>
            </w:r>
          </w:p>
        </w:tc>
        <w:tc>
          <w:tcPr>
            <w:tcW w:w="1701" w:type="dxa"/>
            <w:vAlign w:val="center"/>
          </w:tcPr>
          <w:p w14:paraId="6C1226E8" w14:textId="77777777" w:rsidR="00277CC7" w:rsidRPr="0061557D" w:rsidRDefault="00277CC7" w:rsidP="00277CC7">
            <w:pPr>
              <w:pStyle w:val="Body"/>
              <w:spacing w:line="20" w:lineRule="atLeast"/>
              <w:ind w:firstLine="0"/>
              <w:jc w:val="center"/>
              <w:rPr>
                <w:rFonts w:ascii="Times New Roman" w:hAnsi="Times New Roman"/>
                <w:sz w:val="22"/>
                <w:szCs w:val="22"/>
              </w:rPr>
            </w:pPr>
            <w:r w:rsidRPr="0061557D">
              <w:rPr>
                <w:rFonts w:ascii="Times New Roman" w:hAnsi="Times New Roman"/>
                <w:sz w:val="22"/>
                <w:szCs w:val="22"/>
              </w:rPr>
              <w:t xml:space="preserve">0.28 </w:t>
            </w:r>
            <w:r w:rsidRPr="0061557D">
              <w:rPr>
                <w:rFonts w:ascii="Times New Roman" w:hAnsi="Times New Roman"/>
                <w:sz w:val="22"/>
                <w:szCs w:val="22"/>
                <w:lang w:val="ru-RU"/>
              </w:rPr>
              <w:t>мг/мл</w:t>
            </w:r>
          </w:p>
        </w:tc>
        <w:tc>
          <w:tcPr>
            <w:tcW w:w="2409" w:type="dxa"/>
          </w:tcPr>
          <w:p w14:paraId="0F6B7D22" w14:textId="77777777" w:rsidR="00277CC7" w:rsidRPr="0061557D" w:rsidRDefault="00277CC7" w:rsidP="00277CC7">
            <w:pPr>
              <w:spacing w:after="0" w:line="20" w:lineRule="atLeast"/>
              <w:jc w:val="center"/>
              <w:rPr>
                <w:rFonts w:ascii="Times New Roman" w:hAnsi="Times New Roman"/>
              </w:rPr>
            </w:pPr>
            <w:r w:rsidRPr="0061557D">
              <w:rPr>
                <w:rFonts w:ascii="Times New Roman" w:hAnsi="Times New Roman"/>
              </w:rPr>
              <w:t>не рекомендуется</w:t>
            </w:r>
          </w:p>
        </w:tc>
      </w:tr>
    </w:tbl>
    <w:p w14:paraId="4E95F923" w14:textId="77777777" w:rsidR="00277CC7" w:rsidRPr="00277CC7" w:rsidRDefault="00277CC7" w:rsidP="00277CC7">
      <w:pPr>
        <w:spacing w:after="0" w:line="20" w:lineRule="atLeast"/>
        <w:ind w:left="142" w:right="-20"/>
        <w:jc w:val="both"/>
        <w:rPr>
          <w:rFonts w:ascii="Times New Roman" w:hAnsi="Times New Roman"/>
        </w:rPr>
      </w:pPr>
      <w:r w:rsidRPr="00277CC7">
        <w:rPr>
          <w:rFonts w:ascii="Times New Roman" w:hAnsi="Times New Roman"/>
        </w:rPr>
        <w:t>* 10,5 мл необходимо использовать для восстановления всех флаконов.</w:t>
      </w:r>
    </w:p>
    <w:p w14:paraId="6A838203" w14:textId="77777777" w:rsidR="00400E14" w:rsidRPr="00277CC7" w:rsidRDefault="00277CC7" w:rsidP="00277CC7">
      <w:pPr>
        <w:spacing w:after="0" w:line="20" w:lineRule="atLeast"/>
        <w:jc w:val="both"/>
        <w:rPr>
          <w:rFonts w:ascii="Times New Roman" w:hAnsi="Times New Roman"/>
        </w:rPr>
      </w:pPr>
      <w:r w:rsidRPr="00277CC7">
        <w:rPr>
          <w:rFonts w:ascii="Times New Roman" w:hAnsi="Times New Roman"/>
        </w:rPr>
        <w:t>**при отсутствии флакона по 70 мг, дозу можно приготовить из 2 флаконов по 50 мг</w:t>
      </w:r>
    </w:p>
    <w:p w14:paraId="521FA62C" w14:textId="77777777" w:rsidR="004D761F" w:rsidRDefault="004D761F" w:rsidP="0078568D">
      <w:pPr>
        <w:spacing w:after="0" w:line="240" w:lineRule="auto"/>
        <w:jc w:val="both"/>
        <w:rPr>
          <w:rFonts w:ascii="Times New Roman" w:eastAsia="Times New Roman" w:hAnsi="Times New Roman"/>
          <w:b/>
          <w:sz w:val="24"/>
          <w:szCs w:val="24"/>
          <w:lang w:eastAsia="ru-RU"/>
        </w:rPr>
      </w:pPr>
    </w:p>
    <w:p w14:paraId="2336D435" w14:textId="77777777" w:rsidR="007D0E84" w:rsidRPr="00EE5F5F" w:rsidRDefault="00DB406A" w:rsidP="0078568D">
      <w:pPr>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4.</w:t>
      </w:r>
      <w:r w:rsidR="00566737" w:rsidRPr="00EE5F5F">
        <w:rPr>
          <w:rFonts w:ascii="Times New Roman" w:eastAsia="Times New Roman" w:hAnsi="Times New Roman"/>
          <w:b/>
          <w:sz w:val="24"/>
          <w:szCs w:val="24"/>
          <w:lang w:eastAsia="ru-RU"/>
        </w:rPr>
        <w:t>3</w:t>
      </w:r>
      <w:r w:rsidRPr="00EE5F5F">
        <w:rPr>
          <w:rFonts w:ascii="Times New Roman" w:eastAsia="Times New Roman" w:hAnsi="Times New Roman"/>
          <w:b/>
          <w:sz w:val="24"/>
          <w:szCs w:val="24"/>
          <w:lang w:eastAsia="ru-RU"/>
        </w:rPr>
        <w:t xml:space="preserve"> </w:t>
      </w:r>
      <w:r w:rsidR="007D0E84" w:rsidRPr="00EE5F5F">
        <w:rPr>
          <w:rFonts w:ascii="Times New Roman" w:eastAsia="Times New Roman" w:hAnsi="Times New Roman"/>
          <w:b/>
          <w:sz w:val="24"/>
          <w:szCs w:val="24"/>
          <w:lang w:eastAsia="ru-RU"/>
        </w:rPr>
        <w:t>Противопоказания</w:t>
      </w:r>
    </w:p>
    <w:p w14:paraId="0977B027" w14:textId="77777777" w:rsidR="00D142F2" w:rsidRPr="004D761F" w:rsidRDefault="00D142F2" w:rsidP="00D142F2">
      <w:pPr>
        <w:autoSpaceDE w:val="0"/>
        <w:autoSpaceDN w:val="0"/>
        <w:spacing w:after="0" w:line="240" w:lineRule="auto"/>
        <w:jc w:val="both"/>
        <w:rPr>
          <w:rFonts w:ascii="Times New Roman" w:hAnsi="Times New Roman"/>
          <w:sz w:val="24"/>
          <w:szCs w:val="24"/>
        </w:rPr>
      </w:pPr>
      <w:r w:rsidRPr="00EE5F5F">
        <w:rPr>
          <w:rFonts w:ascii="Times New Roman" w:hAnsi="Times New Roman"/>
          <w:sz w:val="24"/>
          <w:szCs w:val="24"/>
        </w:rPr>
        <w:t>-</w:t>
      </w:r>
      <w:r w:rsidR="00555608">
        <w:rPr>
          <w:rFonts w:ascii="Times New Roman" w:hAnsi="Times New Roman"/>
          <w:sz w:val="24"/>
          <w:szCs w:val="24"/>
        </w:rPr>
        <w:t xml:space="preserve"> </w:t>
      </w:r>
      <w:r w:rsidRPr="00EE5F5F">
        <w:rPr>
          <w:rFonts w:ascii="Times New Roman" w:hAnsi="Times New Roman"/>
          <w:sz w:val="24"/>
          <w:szCs w:val="24"/>
        </w:rPr>
        <w:t>гиперчувствительность к активному веществу или к любому из вспомогательных веществ</w:t>
      </w:r>
    </w:p>
    <w:p w14:paraId="4FAD72CD" w14:textId="77777777" w:rsidR="00B10089" w:rsidRPr="00EE5F5F" w:rsidRDefault="00DB406A" w:rsidP="0078568D">
      <w:pPr>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4.</w:t>
      </w:r>
      <w:r w:rsidR="009F72B0" w:rsidRPr="00EE5F5F">
        <w:rPr>
          <w:rFonts w:ascii="Times New Roman" w:eastAsia="Times New Roman" w:hAnsi="Times New Roman"/>
          <w:b/>
          <w:sz w:val="24"/>
          <w:szCs w:val="24"/>
          <w:lang w:eastAsia="ru-RU"/>
        </w:rPr>
        <w:t>4</w:t>
      </w:r>
      <w:r w:rsidRPr="00EE5F5F">
        <w:rPr>
          <w:rFonts w:ascii="Times New Roman" w:eastAsia="Times New Roman" w:hAnsi="Times New Roman"/>
          <w:b/>
          <w:sz w:val="24"/>
          <w:szCs w:val="24"/>
          <w:lang w:eastAsia="ru-RU"/>
        </w:rPr>
        <w:t xml:space="preserve"> </w:t>
      </w:r>
      <w:r w:rsidR="00566737" w:rsidRPr="00EE5F5F">
        <w:rPr>
          <w:rFonts w:ascii="Times New Roman" w:hAnsi="Times New Roman"/>
          <w:b/>
          <w:sz w:val="24"/>
          <w:szCs w:val="24"/>
          <w:lang w:bidi="ru-RU"/>
        </w:rPr>
        <w:t xml:space="preserve">Особые указания и </w:t>
      </w:r>
      <w:r w:rsidR="007D0E84" w:rsidRPr="00EE5F5F">
        <w:rPr>
          <w:rFonts w:ascii="Times New Roman" w:eastAsia="Times New Roman" w:hAnsi="Times New Roman"/>
          <w:b/>
          <w:sz w:val="24"/>
          <w:szCs w:val="24"/>
          <w:lang w:eastAsia="ru-RU"/>
        </w:rPr>
        <w:t xml:space="preserve">меры </w:t>
      </w:r>
      <w:r w:rsidR="00D9686A" w:rsidRPr="00EE5F5F">
        <w:rPr>
          <w:rFonts w:ascii="Times New Roman" w:eastAsia="Times New Roman" w:hAnsi="Times New Roman"/>
          <w:b/>
          <w:sz w:val="24"/>
          <w:szCs w:val="24"/>
          <w:lang w:eastAsia="ru-RU"/>
        </w:rPr>
        <w:t>предосторожности при применении</w:t>
      </w:r>
    </w:p>
    <w:p w14:paraId="4C1A09E0" w14:textId="77777777" w:rsidR="00B65CA6" w:rsidRDefault="00126CF1" w:rsidP="00C21F25">
      <w:pPr>
        <w:spacing w:after="0" w:line="240" w:lineRule="auto"/>
        <w:jc w:val="both"/>
        <w:rPr>
          <w:rFonts w:ascii="Times New Roman" w:eastAsia="Times New Roman" w:hAnsi="Times New Roman"/>
          <w:bCs/>
          <w:iCs/>
          <w:sz w:val="24"/>
          <w:szCs w:val="24"/>
          <w:lang w:eastAsia="ru-RU"/>
        </w:rPr>
      </w:pPr>
      <w:r w:rsidRPr="00126CF1">
        <w:rPr>
          <w:rFonts w:ascii="Times New Roman" w:eastAsia="Times New Roman" w:hAnsi="Times New Roman"/>
          <w:bCs/>
          <w:iCs/>
          <w:sz w:val="24"/>
          <w:szCs w:val="24"/>
          <w:lang w:eastAsia="ru-RU"/>
        </w:rPr>
        <w:t xml:space="preserve">Сообщалось о случаях анафилаксии при применении каспофунгина. В этом случае следует прекратить прием каспофунгина и назначить соответствующее лечение. Сообщалось о возможности развития гистамин - опосредованных нежелательных </w:t>
      </w:r>
      <w:r w:rsidRPr="00126CF1">
        <w:rPr>
          <w:rFonts w:ascii="Times New Roman" w:eastAsia="Times New Roman" w:hAnsi="Times New Roman"/>
          <w:bCs/>
          <w:iCs/>
          <w:sz w:val="24"/>
          <w:szCs w:val="24"/>
          <w:lang w:eastAsia="ru-RU"/>
        </w:rPr>
        <w:lastRenderedPageBreak/>
        <w:t>реакций, включая сыпь, отек лица, ангионевротический отек, зуд, чувство жара или бронхоспазм, которые могут потребовать прекращения приема препарата и/или назначения соответствующего лечения.</w:t>
      </w:r>
    </w:p>
    <w:p w14:paraId="1DF9A354" w14:textId="77777777" w:rsidR="00126CF1" w:rsidRDefault="00126CF1" w:rsidP="00C21F25">
      <w:pPr>
        <w:spacing w:after="0" w:line="240" w:lineRule="auto"/>
        <w:jc w:val="both"/>
        <w:rPr>
          <w:rFonts w:ascii="Times New Roman" w:eastAsia="Times New Roman" w:hAnsi="Times New Roman"/>
          <w:bCs/>
          <w:iCs/>
          <w:sz w:val="24"/>
          <w:szCs w:val="24"/>
          <w:lang w:eastAsia="ru-RU"/>
        </w:rPr>
      </w:pPr>
      <w:r w:rsidRPr="00126CF1">
        <w:rPr>
          <w:rFonts w:ascii="Times New Roman" w:eastAsia="Times New Roman" w:hAnsi="Times New Roman"/>
          <w:bCs/>
          <w:iCs/>
          <w:sz w:val="24"/>
          <w:szCs w:val="24"/>
          <w:lang w:eastAsia="ru-RU"/>
        </w:rPr>
        <w:t xml:space="preserve">Ограниченные данные свидетельствуют о том, что каспофунгин не обладает активностью против менее распространенных грибков, не относящихся к  видам </w:t>
      </w:r>
      <w:r w:rsidRPr="00126CF1">
        <w:rPr>
          <w:rFonts w:ascii="Times New Roman" w:eastAsia="Times New Roman" w:hAnsi="Times New Roman"/>
          <w:bCs/>
          <w:i/>
          <w:sz w:val="24"/>
          <w:szCs w:val="24"/>
          <w:lang w:eastAsia="ru-RU"/>
        </w:rPr>
        <w:t>Candida</w:t>
      </w:r>
      <w:r w:rsidRPr="00126CF1">
        <w:rPr>
          <w:rFonts w:ascii="Times New Roman" w:eastAsia="Times New Roman" w:hAnsi="Times New Roman"/>
          <w:bCs/>
          <w:iCs/>
          <w:sz w:val="24"/>
          <w:szCs w:val="24"/>
          <w:lang w:eastAsia="ru-RU"/>
        </w:rPr>
        <w:t xml:space="preserve"> и </w:t>
      </w:r>
      <w:r w:rsidRPr="00126CF1">
        <w:rPr>
          <w:rFonts w:ascii="Times New Roman" w:eastAsia="Times New Roman" w:hAnsi="Times New Roman"/>
          <w:bCs/>
          <w:i/>
          <w:sz w:val="24"/>
          <w:szCs w:val="24"/>
          <w:lang w:eastAsia="ru-RU"/>
        </w:rPr>
        <w:t>Aspergillus</w:t>
      </w:r>
      <w:r w:rsidRPr="00126CF1">
        <w:rPr>
          <w:rFonts w:ascii="Times New Roman" w:eastAsia="Times New Roman" w:hAnsi="Times New Roman"/>
          <w:bCs/>
          <w:iCs/>
          <w:sz w:val="24"/>
          <w:szCs w:val="24"/>
          <w:lang w:eastAsia="ru-RU"/>
        </w:rPr>
        <w:t>. Эффективность каспофунгина против этих патогенных грибков не установлена.</w:t>
      </w:r>
    </w:p>
    <w:p w14:paraId="0CFB95E6" w14:textId="77777777" w:rsidR="00C21F25" w:rsidRDefault="00F35BD5" w:rsidP="00C21F25">
      <w:pPr>
        <w:spacing w:after="0" w:line="240" w:lineRule="auto"/>
        <w:jc w:val="both"/>
        <w:rPr>
          <w:rFonts w:ascii="Times New Roman" w:eastAsia="Times New Roman" w:hAnsi="Times New Roman"/>
          <w:bCs/>
          <w:iCs/>
          <w:sz w:val="24"/>
          <w:szCs w:val="24"/>
          <w:lang w:eastAsia="ru-RU"/>
        </w:rPr>
      </w:pPr>
      <w:r w:rsidRPr="00F35BD5">
        <w:rPr>
          <w:rFonts w:ascii="Times New Roman" w:eastAsia="Times New Roman" w:hAnsi="Times New Roman"/>
          <w:bCs/>
          <w:iCs/>
          <w:sz w:val="24"/>
          <w:szCs w:val="24"/>
          <w:lang w:eastAsia="ru-RU"/>
        </w:rPr>
        <w:t>Сопутствующее введение каспофунгина с циклоспорином оценивали у здоровых взрослых добровольцев и взрослых пациентов. У некоторых здоровых добровольцев, получавших две дозы по 3 мг/кг циклоспорина и каспофунгин, наблюдалось преходящее повышение активности печеночных ферментов AЛT и AСT менее или в 3 раза выше верхней границы нормы (ВГН), которые нормализовались после отмены лечения. В ретроспективном пострегистрационном исследовании у 40 пациентов, получавших одновременно каспофунгин и циклоспорин в течение 1-290 дней (в среднем 17,5 дней), серьезных нежелательных реакций со стороны печени не отмечалось. Эти данные свидетельствуют о том, что каспофунгин можно применять у пациентов, получающих циклоспорин, если ожидаемая польза превышает потенциальный риск. При одновременном применении каспофунгина и циклоспорина необходимо тщательно контролировать ферменты печени.</w:t>
      </w:r>
    </w:p>
    <w:p w14:paraId="2AB25DDD" w14:textId="77777777" w:rsidR="00F35BD5" w:rsidRDefault="00F35BD5" w:rsidP="00C21F25">
      <w:pPr>
        <w:spacing w:after="0" w:line="240" w:lineRule="auto"/>
        <w:jc w:val="both"/>
        <w:rPr>
          <w:rFonts w:ascii="Times New Roman" w:eastAsia="Times New Roman" w:hAnsi="Times New Roman"/>
          <w:bCs/>
          <w:iCs/>
          <w:sz w:val="24"/>
          <w:szCs w:val="24"/>
          <w:lang w:eastAsia="ru-RU"/>
        </w:rPr>
      </w:pPr>
      <w:r w:rsidRPr="00F35BD5">
        <w:rPr>
          <w:rFonts w:ascii="Times New Roman" w:eastAsia="Times New Roman" w:hAnsi="Times New Roman"/>
          <w:bCs/>
          <w:iCs/>
          <w:sz w:val="24"/>
          <w:szCs w:val="24"/>
          <w:lang w:eastAsia="ru-RU"/>
        </w:rPr>
        <w:t>У взрослых пациентов с печеночной недостаточностью легкой и средней тяжести AUC каспофунгина увеличивалась примерно на 20 % и 75 %, соответственно. У взрослых с печеночной недостаточностью средней тяжести рекомендуется снижение суточной дозы до 35 мг. Клинический опыт применения каспофунгина у взрослых пациентов с тяжелой печеночной недостаточностью и у детей с любой степенью тяжести печеночной недостаточности отсутствует. У этих пациентов ожидается более высокая экспозиция, чем у пациентов с печеночной недостаточностью средней тяжести, поэтому каспофунгин следует применять с осторожностью у данной категории пациентов</w:t>
      </w:r>
      <w:r>
        <w:rPr>
          <w:rFonts w:ascii="Times New Roman" w:eastAsia="Times New Roman" w:hAnsi="Times New Roman"/>
          <w:bCs/>
          <w:iCs/>
          <w:sz w:val="24"/>
          <w:szCs w:val="24"/>
          <w:lang w:eastAsia="ru-RU"/>
        </w:rPr>
        <w:t>.</w:t>
      </w:r>
    </w:p>
    <w:p w14:paraId="17C7C1CD" w14:textId="77777777" w:rsidR="00F35BD5" w:rsidRDefault="00F35BD5" w:rsidP="00C21F25">
      <w:pPr>
        <w:spacing w:after="0" w:line="240" w:lineRule="auto"/>
        <w:jc w:val="both"/>
        <w:rPr>
          <w:rFonts w:ascii="Times New Roman" w:eastAsia="Times New Roman" w:hAnsi="Times New Roman"/>
          <w:bCs/>
          <w:iCs/>
          <w:sz w:val="24"/>
          <w:szCs w:val="24"/>
          <w:lang w:eastAsia="ru-RU"/>
        </w:rPr>
      </w:pPr>
      <w:r w:rsidRPr="00F35BD5">
        <w:rPr>
          <w:rFonts w:ascii="Times New Roman" w:eastAsia="Times New Roman" w:hAnsi="Times New Roman"/>
          <w:bCs/>
          <w:iCs/>
          <w:sz w:val="24"/>
          <w:szCs w:val="24"/>
          <w:lang w:eastAsia="ru-RU"/>
        </w:rPr>
        <w:t>Лабораторные отклонения в функциональных пробах печени наблюдались у здоровых добровольцев, а также у взрослых пациентов и детей, которых лечили каспофунгином. У некоторых взрослых и детей с серьезными основными заболеваниями, получавших несколько сопутствующих препаратов с каспофунгином, зарегистрированы случаи клинически значимой печеночной дисфункции, гепатита и печеночной недостаточности; хотя причинно-следственная связь с каспофунгином не установлена. Пациентов с отклонениями функциональных проб печени во время лечения каспофунгином необходимо наблюдать с целью выявления ухудшения функции печени и повторно оценить соотношение риска/пользы продолжения терапии каспофунгином.</w:t>
      </w:r>
    </w:p>
    <w:p w14:paraId="65629922" w14:textId="77777777" w:rsidR="00F35BD5" w:rsidRDefault="00F35BD5" w:rsidP="00C21F25">
      <w:pPr>
        <w:spacing w:after="0" w:line="240" w:lineRule="auto"/>
        <w:jc w:val="both"/>
        <w:rPr>
          <w:rFonts w:ascii="Times New Roman" w:eastAsia="Times New Roman" w:hAnsi="Times New Roman"/>
          <w:bCs/>
          <w:iCs/>
          <w:sz w:val="24"/>
          <w:szCs w:val="24"/>
          <w:lang w:eastAsia="ru-RU"/>
        </w:rPr>
      </w:pPr>
      <w:r w:rsidRPr="00F35BD5">
        <w:rPr>
          <w:rFonts w:ascii="Times New Roman" w:eastAsia="Times New Roman" w:hAnsi="Times New Roman"/>
          <w:bCs/>
          <w:iCs/>
          <w:sz w:val="24"/>
          <w:szCs w:val="24"/>
          <w:lang w:eastAsia="ru-RU"/>
        </w:rPr>
        <w:t>Сообщалось о случаях синдрома Стивенса-Джонсона (SJS) и токсического эпидермального некролиза (TEN) в пострегистрационный период применения каспофунгина. Необходимо соблюдать осторожность у пациентов с кожными аллергическими реакциями в анамнезе.</w:t>
      </w:r>
    </w:p>
    <w:p w14:paraId="12998805" w14:textId="77777777" w:rsidR="00470F04" w:rsidRDefault="00470F04" w:rsidP="00C21F25">
      <w:pPr>
        <w:spacing w:after="0" w:line="240" w:lineRule="auto"/>
        <w:jc w:val="both"/>
        <w:rPr>
          <w:rFonts w:ascii="Times New Roman" w:eastAsia="Times New Roman" w:hAnsi="Times New Roman"/>
          <w:bCs/>
          <w:iCs/>
          <w:sz w:val="24"/>
          <w:szCs w:val="24"/>
          <w:lang w:eastAsia="ru-RU"/>
        </w:rPr>
      </w:pPr>
      <w:r w:rsidRPr="00470F04">
        <w:rPr>
          <w:rFonts w:ascii="Times New Roman" w:eastAsia="Times New Roman" w:hAnsi="Times New Roman"/>
          <w:bCs/>
          <w:iCs/>
          <w:sz w:val="24"/>
          <w:szCs w:val="24"/>
          <w:lang w:eastAsia="ru-RU"/>
        </w:rPr>
        <w:t>Это лекарственное средство содержит сахарозу. Пациенты с наследственной непереносимостью фруктозы или дефицитом фермента сукразы-изомальтазы не должны принимать Касфоцин.</w:t>
      </w:r>
    </w:p>
    <w:p w14:paraId="2703D30D" w14:textId="77777777" w:rsidR="00392508" w:rsidRDefault="00392508" w:rsidP="00C21F25">
      <w:pPr>
        <w:spacing w:after="0" w:line="240" w:lineRule="auto"/>
        <w:jc w:val="both"/>
        <w:rPr>
          <w:rFonts w:ascii="Times New Roman" w:eastAsia="Times New Roman" w:hAnsi="Times New Roman"/>
          <w:bCs/>
          <w:iCs/>
          <w:sz w:val="24"/>
          <w:szCs w:val="24"/>
          <w:lang w:eastAsia="ru-RU"/>
        </w:rPr>
      </w:pPr>
      <w:r w:rsidRPr="00392508">
        <w:rPr>
          <w:rFonts w:ascii="Times New Roman" w:eastAsia="Times New Roman" w:hAnsi="Times New Roman"/>
          <w:bCs/>
          <w:iCs/>
          <w:sz w:val="24"/>
          <w:szCs w:val="24"/>
          <w:lang w:eastAsia="ru-RU"/>
        </w:rPr>
        <w:t xml:space="preserve">Данный препарат содержит </w:t>
      </w:r>
      <w:r>
        <w:rPr>
          <w:rFonts w:ascii="Times New Roman" w:eastAsia="Times New Roman" w:hAnsi="Times New Roman"/>
          <w:bCs/>
          <w:iCs/>
          <w:sz w:val="24"/>
          <w:szCs w:val="24"/>
          <w:lang w:eastAsia="ru-RU"/>
        </w:rPr>
        <w:t>0-0.16</w:t>
      </w:r>
      <w:r w:rsidRPr="00392508">
        <w:rPr>
          <w:rFonts w:ascii="Times New Roman" w:eastAsia="Times New Roman" w:hAnsi="Times New Roman"/>
          <w:bCs/>
          <w:iCs/>
          <w:sz w:val="24"/>
          <w:szCs w:val="24"/>
          <w:lang w:eastAsia="ru-RU"/>
        </w:rPr>
        <w:t xml:space="preserve"> мг натрия </w:t>
      </w:r>
      <w:r>
        <w:rPr>
          <w:rFonts w:ascii="Times New Roman" w:eastAsia="Times New Roman" w:hAnsi="Times New Roman"/>
          <w:bCs/>
          <w:iCs/>
          <w:sz w:val="24"/>
          <w:szCs w:val="24"/>
          <w:lang w:eastAsia="ru-RU"/>
        </w:rPr>
        <w:t>гидроксида</w:t>
      </w:r>
      <w:r w:rsidRPr="00392508">
        <w:rPr>
          <w:rFonts w:ascii="Times New Roman" w:eastAsia="Times New Roman" w:hAnsi="Times New Roman"/>
          <w:bCs/>
          <w:iCs/>
          <w:sz w:val="24"/>
          <w:szCs w:val="24"/>
          <w:lang w:eastAsia="ru-RU"/>
        </w:rPr>
        <w:t xml:space="preserve"> в одно</w:t>
      </w:r>
      <w:r w:rsidR="00E57F8A">
        <w:rPr>
          <w:rFonts w:ascii="Times New Roman" w:eastAsia="Times New Roman" w:hAnsi="Times New Roman"/>
          <w:bCs/>
          <w:iCs/>
          <w:sz w:val="24"/>
          <w:szCs w:val="24"/>
          <w:lang w:eastAsia="ru-RU"/>
        </w:rPr>
        <w:t>м флаконе</w:t>
      </w:r>
      <w:r w:rsidRPr="00392508">
        <w:rPr>
          <w:rFonts w:ascii="Times New Roman" w:eastAsia="Times New Roman" w:hAnsi="Times New Roman"/>
          <w:bCs/>
          <w:iCs/>
          <w:sz w:val="24"/>
          <w:szCs w:val="24"/>
          <w:lang w:eastAsia="ru-RU"/>
        </w:rPr>
        <w:t>, исходя из этого минимального количества, можно считать, что препарат «свободен от натрия».</w:t>
      </w:r>
    </w:p>
    <w:p w14:paraId="58C46C25" w14:textId="77777777" w:rsidR="00EE5F5F" w:rsidRPr="00EE5F5F" w:rsidRDefault="00EE5F5F" w:rsidP="00EE5F5F">
      <w:pPr>
        <w:spacing w:after="0" w:line="240" w:lineRule="auto"/>
        <w:jc w:val="both"/>
        <w:rPr>
          <w:rFonts w:ascii="Times New Roman" w:eastAsia="Times New Roman" w:hAnsi="Times New Roman"/>
          <w:bCs/>
          <w:iCs/>
          <w:sz w:val="24"/>
          <w:szCs w:val="24"/>
          <w:lang w:eastAsia="ru-RU"/>
        </w:rPr>
      </w:pPr>
    </w:p>
    <w:p w14:paraId="027599CB" w14:textId="77777777" w:rsidR="007D0E84" w:rsidRPr="00EE5F5F" w:rsidRDefault="00DB406A" w:rsidP="0078568D">
      <w:pPr>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4.</w:t>
      </w:r>
      <w:r w:rsidR="00B05BD1" w:rsidRPr="00EE5F5F">
        <w:rPr>
          <w:rFonts w:ascii="Times New Roman" w:eastAsia="Times New Roman" w:hAnsi="Times New Roman"/>
          <w:b/>
          <w:sz w:val="24"/>
          <w:szCs w:val="24"/>
          <w:lang w:eastAsia="ru-RU"/>
        </w:rPr>
        <w:t>5</w:t>
      </w:r>
      <w:r w:rsidRPr="00EE5F5F">
        <w:rPr>
          <w:rFonts w:ascii="Times New Roman" w:eastAsia="Times New Roman" w:hAnsi="Times New Roman"/>
          <w:b/>
          <w:sz w:val="24"/>
          <w:szCs w:val="24"/>
          <w:lang w:eastAsia="ru-RU"/>
        </w:rPr>
        <w:t xml:space="preserve"> </w:t>
      </w:r>
      <w:r w:rsidR="007D0E84" w:rsidRPr="00EE5F5F">
        <w:rPr>
          <w:rFonts w:ascii="Times New Roman" w:eastAsia="Times New Roman" w:hAnsi="Times New Roman"/>
          <w:b/>
          <w:sz w:val="24"/>
          <w:szCs w:val="24"/>
          <w:lang w:eastAsia="ru-RU"/>
        </w:rPr>
        <w:t>Взаимодействия с другими лекарственными препаратами</w:t>
      </w:r>
      <w:r w:rsidR="005D66F3" w:rsidRPr="00EE5F5F">
        <w:rPr>
          <w:rFonts w:ascii="Times New Roman" w:eastAsia="Times New Roman" w:hAnsi="Times New Roman"/>
          <w:b/>
          <w:sz w:val="24"/>
          <w:szCs w:val="24"/>
          <w:lang w:eastAsia="ru-RU"/>
        </w:rPr>
        <w:t xml:space="preserve"> и другие виды взаимодействия</w:t>
      </w:r>
    </w:p>
    <w:p w14:paraId="7499A5C2" w14:textId="77777777" w:rsidR="00126CF1" w:rsidRPr="00EE5F5F" w:rsidRDefault="00126CF1" w:rsidP="00126CF1">
      <w:pPr>
        <w:spacing w:after="0" w:line="240" w:lineRule="auto"/>
        <w:jc w:val="both"/>
        <w:rPr>
          <w:rFonts w:ascii="Times New Roman" w:eastAsia="Times New Roman" w:hAnsi="Times New Roman"/>
          <w:bCs/>
          <w:iCs/>
          <w:sz w:val="24"/>
          <w:szCs w:val="24"/>
          <w:lang w:eastAsia="ru-RU"/>
        </w:rPr>
      </w:pPr>
      <w:r w:rsidRPr="00EE5F5F">
        <w:rPr>
          <w:rFonts w:ascii="Times New Roman" w:eastAsia="Times New Roman" w:hAnsi="Times New Roman"/>
          <w:bCs/>
          <w:iCs/>
          <w:sz w:val="24"/>
          <w:szCs w:val="24"/>
          <w:lang w:eastAsia="ru-RU"/>
        </w:rPr>
        <w:t xml:space="preserve">Исследования </w:t>
      </w:r>
      <w:r w:rsidRPr="002E5F6F">
        <w:rPr>
          <w:rFonts w:ascii="Times New Roman" w:eastAsia="Times New Roman" w:hAnsi="Times New Roman"/>
          <w:bCs/>
          <w:i/>
          <w:sz w:val="24"/>
          <w:szCs w:val="24"/>
          <w:lang w:eastAsia="ru-RU"/>
        </w:rPr>
        <w:t>in vitro</w:t>
      </w:r>
      <w:r w:rsidRPr="00EE5F5F">
        <w:rPr>
          <w:rFonts w:ascii="Times New Roman" w:eastAsia="Times New Roman" w:hAnsi="Times New Roman"/>
          <w:bCs/>
          <w:iCs/>
          <w:sz w:val="24"/>
          <w:szCs w:val="24"/>
          <w:lang w:eastAsia="ru-RU"/>
        </w:rPr>
        <w:t xml:space="preserve"> показывают, что каспофунгин не является ингибитором какого-либо фермента системы цитохрома P450 (CYP). В клинических исследованиях каспофунгин не индуцировал метаболизм CYP3A4 других веществ. Каспофунгин не </w:t>
      </w:r>
      <w:r w:rsidRPr="00EE5F5F">
        <w:rPr>
          <w:rFonts w:ascii="Times New Roman" w:eastAsia="Times New Roman" w:hAnsi="Times New Roman"/>
          <w:bCs/>
          <w:iCs/>
          <w:sz w:val="24"/>
          <w:szCs w:val="24"/>
          <w:lang w:eastAsia="ru-RU"/>
        </w:rPr>
        <w:lastRenderedPageBreak/>
        <w:t>является субстратом для P-гликопротеина и является слабым субстратом для ферментов цитохрома P450. Однако каспофунгин продемонстрировал взаимодействие с другими лекарственными препаратами в фармакологических и клинических исследованиях (см. ниже).</w:t>
      </w:r>
    </w:p>
    <w:p w14:paraId="4578F957" w14:textId="77777777" w:rsidR="00126CF1" w:rsidRDefault="00126CF1" w:rsidP="00126CF1">
      <w:pPr>
        <w:spacing w:after="0" w:line="240" w:lineRule="auto"/>
        <w:jc w:val="both"/>
        <w:rPr>
          <w:rFonts w:ascii="Times New Roman" w:eastAsia="Times New Roman" w:hAnsi="Times New Roman"/>
          <w:bCs/>
          <w:iCs/>
          <w:sz w:val="24"/>
          <w:szCs w:val="24"/>
          <w:lang w:eastAsia="ru-RU"/>
        </w:rPr>
      </w:pPr>
      <w:r w:rsidRPr="00EE5F5F">
        <w:rPr>
          <w:rFonts w:ascii="Times New Roman" w:eastAsia="Times New Roman" w:hAnsi="Times New Roman"/>
          <w:bCs/>
          <w:iCs/>
          <w:sz w:val="24"/>
          <w:szCs w:val="24"/>
          <w:lang w:eastAsia="ru-RU"/>
        </w:rPr>
        <w:t xml:space="preserve">В двух клинических исследованиях, проведенных у здоровых взрослых </w:t>
      </w:r>
      <w:r>
        <w:rPr>
          <w:rFonts w:ascii="Times New Roman" w:eastAsia="Times New Roman" w:hAnsi="Times New Roman"/>
          <w:bCs/>
          <w:iCs/>
          <w:sz w:val="24"/>
          <w:szCs w:val="24"/>
          <w:lang w:eastAsia="ru-RU"/>
        </w:rPr>
        <w:t>добровольцев</w:t>
      </w:r>
      <w:r w:rsidRPr="00EE5F5F">
        <w:rPr>
          <w:rFonts w:ascii="Times New Roman" w:eastAsia="Times New Roman" w:hAnsi="Times New Roman"/>
          <w:bCs/>
          <w:iCs/>
          <w:sz w:val="24"/>
          <w:szCs w:val="24"/>
          <w:lang w:eastAsia="ru-RU"/>
        </w:rPr>
        <w:t xml:space="preserve">, циклоспорин А (одна доза 4 мг/кг или две дозы 3 мг/кг с интервалом 12 часов) увеличивал AUC каспофунгина примерно на 35 %. </w:t>
      </w:r>
      <w:r>
        <w:rPr>
          <w:rFonts w:ascii="Times New Roman" w:eastAsia="Times New Roman" w:hAnsi="Times New Roman"/>
          <w:bCs/>
          <w:iCs/>
          <w:sz w:val="24"/>
          <w:szCs w:val="24"/>
          <w:lang w:eastAsia="ru-RU"/>
        </w:rPr>
        <w:t>Данное</w:t>
      </w:r>
      <w:r w:rsidRPr="00EE5F5F">
        <w:rPr>
          <w:rFonts w:ascii="Times New Roman" w:eastAsia="Times New Roman" w:hAnsi="Times New Roman"/>
          <w:bCs/>
          <w:iCs/>
          <w:sz w:val="24"/>
          <w:szCs w:val="24"/>
          <w:lang w:eastAsia="ru-RU"/>
        </w:rPr>
        <w:t xml:space="preserve"> увеличение AUC, вероятно, связано со снижением поглощения каспофунгина печенью. Каспофунгин </w:t>
      </w:r>
      <w:r>
        <w:rPr>
          <w:rFonts w:ascii="Times New Roman" w:eastAsia="Times New Roman" w:hAnsi="Times New Roman"/>
          <w:bCs/>
          <w:iCs/>
          <w:sz w:val="24"/>
          <w:szCs w:val="24"/>
          <w:lang w:eastAsia="ru-RU"/>
        </w:rPr>
        <w:t>не оказывал влияния на повышение</w:t>
      </w:r>
      <w:r w:rsidRPr="00EE5F5F">
        <w:rPr>
          <w:rFonts w:ascii="Times New Roman" w:eastAsia="Times New Roman" w:hAnsi="Times New Roman"/>
          <w:bCs/>
          <w:iCs/>
          <w:sz w:val="24"/>
          <w:szCs w:val="24"/>
          <w:lang w:eastAsia="ru-RU"/>
        </w:rPr>
        <w:t xml:space="preserve"> уровн</w:t>
      </w:r>
      <w:r>
        <w:rPr>
          <w:rFonts w:ascii="Times New Roman" w:eastAsia="Times New Roman" w:hAnsi="Times New Roman"/>
          <w:bCs/>
          <w:iCs/>
          <w:sz w:val="24"/>
          <w:szCs w:val="24"/>
          <w:lang w:eastAsia="ru-RU"/>
        </w:rPr>
        <w:t>я</w:t>
      </w:r>
      <w:r w:rsidRPr="00EE5F5F">
        <w:rPr>
          <w:rFonts w:ascii="Times New Roman" w:eastAsia="Times New Roman" w:hAnsi="Times New Roman"/>
          <w:bCs/>
          <w:iCs/>
          <w:sz w:val="24"/>
          <w:szCs w:val="24"/>
          <w:lang w:eastAsia="ru-RU"/>
        </w:rPr>
        <w:t xml:space="preserve"> циклоспорина в плазме крови. При совместном применении каспофунгина и циклоспорина наблюдалось транзиторное повышение АЛТ и АСТ печени менее или равное 3-кратно</w:t>
      </w:r>
      <w:r>
        <w:rPr>
          <w:rFonts w:ascii="Times New Roman" w:eastAsia="Times New Roman" w:hAnsi="Times New Roman"/>
          <w:bCs/>
          <w:iCs/>
          <w:sz w:val="24"/>
          <w:szCs w:val="24"/>
          <w:lang w:eastAsia="ru-RU"/>
        </w:rPr>
        <w:t>й</w:t>
      </w:r>
      <w:r w:rsidRPr="00EE5F5F">
        <w:rPr>
          <w:rFonts w:ascii="Times New Roman" w:eastAsia="Times New Roman" w:hAnsi="Times New Roman"/>
          <w:bCs/>
          <w:iCs/>
          <w:sz w:val="24"/>
          <w:szCs w:val="24"/>
          <w:lang w:eastAsia="ru-RU"/>
        </w:rPr>
        <w:t xml:space="preserve"> верхне</w:t>
      </w:r>
      <w:r>
        <w:rPr>
          <w:rFonts w:ascii="Times New Roman" w:eastAsia="Times New Roman" w:hAnsi="Times New Roman"/>
          <w:bCs/>
          <w:iCs/>
          <w:sz w:val="24"/>
          <w:szCs w:val="24"/>
          <w:lang w:eastAsia="ru-RU"/>
        </w:rPr>
        <w:t>й</w:t>
      </w:r>
      <w:r w:rsidRPr="00EE5F5F">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границы</w:t>
      </w:r>
      <w:r w:rsidRPr="00EE5F5F">
        <w:rPr>
          <w:rFonts w:ascii="Times New Roman" w:eastAsia="Times New Roman" w:hAnsi="Times New Roman"/>
          <w:bCs/>
          <w:iCs/>
          <w:sz w:val="24"/>
          <w:szCs w:val="24"/>
          <w:lang w:eastAsia="ru-RU"/>
        </w:rPr>
        <w:t xml:space="preserve"> нормы (ВГН), что </w:t>
      </w:r>
      <w:r>
        <w:rPr>
          <w:rFonts w:ascii="Times New Roman" w:eastAsia="Times New Roman" w:hAnsi="Times New Roman"/>
          <w:bCs/>
          <w:iCs/>
          <w:sz w:val="24"/>
          <w:szCs w:val="24"/>
          <w:lang w:eastAsia="ru-RU"/>
        </w:rPr>
        <w:t>являлось обратимым после отмены лекарственной терапии</w:t>
      </w:r>
      <w:r w:rsidRPr="00EE5F5F">
        <w:rPr>
          <w:rFonts w:ascii="Times New Roman" w:eastAsia="Times New Roman" w:hAnsi="Times New Roman"/>
          <w:bCs/>
          <w:iCs/>
          <w:sz w:val="24"/>
          <w:szCs w:val="24"/>
          <w:lang w:eastAsia="ru-RU"/>
        </w:rPr>
        <w:t>. В ретроспективном исследовании 40 пациентов, получавших каспофунгин и циклоспорин в течение 1-290 дней (</w:t>
      </w:r>
      <w:r>
        <w:rPr>
          <w:rFonts w:ascii="Times New Roman" w:eastAsia="Times New Roman" w:hAnsi="Times New Roman"/>
          <w:bCs/>
          <w:iCs/>
          <w:sz w:val="24"/>
          <w:szCs w:val="24"/>
          <w:lang w:eastAsia="ru-RU"/>
        </w:rPr>
        <w:t>в среднем</w:t>
      </w:r>
      <w:r w:rsidRPr="00EE5F5F">
        <w:rPr>
          <w:rFonts w:ascii="Times New Roman" w:eastAsia="Times New Roman" w:hAnsi="Times New Roman"/>
          <w:bCs/>
          <w:iCs/>
          <w:sz w:val="24"/>
          <w:szCs w:val="24"/>
          <w:lang w:eastAsia="ru-RU"/>
        </w:rPr>
        <w:t xml:space="preserve"> 17,5 дн</w:t>
      </w:r>
      <w:r>
        <w:rPr>
          <w:rFonts w:ascii="Times New Roman" w:eastAsia="Times New Roman" w:hAnsi="Times New Roman"/>
          <w:bCs/>
          <w:iCs/>
          <w:sz w:val="24"/>
          <w:szCs w:val="24"/>
          <w:lang w:eastAsia="ru-RU"/>
        </w:rPr>
        <w:t>ей</w:t>
      </w:r>
      <w:r w:rsidRPr="00EE5F5F">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не отмечалось</w:t>
      </w:r>
      <w:r w:rsidRPr="00EE5F5F">
        <w:rPr>
          <w:rFonts w:ascii="Times New Roman" w:eastAsia="Times New Roman" w:hAnsi="Times New Roman"/>
          <w:bCs/>
          <w:iCs/>
          <w:sz w:val="24"/>
          <w:szCs w:val="24"/>
          <w:lang w:eastAsia="ru-RU"/>
        </w:rPr>
        <w:t xml:space="preserve"> серьезных побочных реакций со стороны печен</w:t>
      </w:r>
      <w:r>
        <w:rPr>
          <w:rFonts w:ascii="Times New Roman" w:eastAsia="Times New Roman" w:hAnsi="Times New Roman"/>
          <w:bCs/>
          <w:iCs/>
          <w:sz w:val="24"/>
          <w:szCs w:val="24"/>
          <w:lang w:eastAsia="ru-RU"/>
        </w:rPr>
        <w:t>и</w:t>
      </w:r>
      <w:r w:rsidRPr="00EE5F5F">
        <w:rPr>
          <w:rFonts w:ascii="Times New Roman" w:eastAsia="Times New Roman" w:hAnsi="Times New Roman"/>
          <w:bCs/>
          <w:iCs/>
          <w:sz w:val="24"/>
          <w:szCs w:val="24"/>
          <w:lang w:eastAsia="ru-RU"/>
        </w:rPr>
        <w:t>. При одновременном введении обоих препаратов необходимо тщательно контролировать ферменты печени.</w:t>
      </w:r>
    </w:p>
    <w:p w14:paraId="4D0264BB" w14:textId="77777777" w:rsidR="00126CF1" w:rsidRPr="00EE5F5F" w:rsidRDefault="00126CF1" w:rsidP="00126CF1">
      <w:pPr>
        <w:spacing w:after="0" w:line="240" w:lineRule="auto"/>
        <w:jc w:val="both"/>
        <w:rPr>
          <w:rFonts w:ascii="Times New Roman" w:eastAsia="Times New Roman" w:hAnsi="Times New Roman"/>
          <w:bCs/>
          <w:iCs/>
          <w:sz w:val="24"/>
          <w:szCs w:val="24"/>
          <w:lang w:eastAsia="ru-RU"/>
        </w:rPr>
      </w:pPr>
      <w:r w:rsidRPr="00EE5F5F">
        <w:rPr>
          <w:rFonts w:ascii="Times New Roman" w:eastAsia="Times New Roman" w:hAnsi="Times New Roman"/>
          <w:bCs/>
          <w:iCs/>
          <w:sz w:val="24"/>
          <w:szCs w:val="24"/>
          <w:lang w:eastAsia="ru-RU"/>
        </w:rPr>
        <w:t>Каспофунгин снижал концентрацию такролимуса на 26 %. Для пациентов, получающих оба препарата, стандартный мониторинг концентраций такролимуса в крови и соответствующая коррекция дозы такролимуса являются обязательными.</w:t>
      </w:r>
    </w:p>
    <w:p w14:paraId="6FDF49E0" w14:textId="77777777" w:rsidR="00126CF1" w:rsidRDefault="00126CF1" w:rsidP="00126CF1">
      <w:pPr>
        <w:spacing w:after="0" w:line="240" w:lineRule="auto"/>
        <w:jc w:val="both"/>
        <w:rPr>
          <w:rFonts w:ascii="Times New Roman" w:eastAsia="Times New Roman" w:hAnsi="Times New Roman"/>
          <w:bCs/>
          <w:iCs/>
          <w:sz w:val="24"/>
          <w:szCs w:val="24"/>
          <w:lang w:eastAsia="ru-RU"/>
        </w:rPr>
      </w:pPr>
      <w:r w:rsidRPr="00EE5F5F">
        <w:rPr>
          <w:rFonts w:ascii="Times New Roman" w:eastAsia="Times New Roman" w:hAnsi="Times New Roman"/>
          <w:bCs/>
          <w:iCs/>
          <w:sz w:val="24"/>
          <w:szCs w:val="24"/>
          <w:lang w:eastAsia="ru-RU"/>
        </w:rPr>
        <w:t>Исследования показали, что фармакокинетика каспофунгина не изменялась в клинически значимой степени при одновременном назначении с итраконазолом, амфотерицином В, микофенолятом, нелфинавиром или такролимусом. Каспофунгин в свою очередь не влиял на фармакокинетику амфотерицина В, итраконазола, рифампицина или микофенолята мофетила. Хотя данные по безопасности ограничены, особые меры предосторожности не требуются при сопутствующем применении амфотерицина B, итраконазола, нелфинавира или мофетила микофенолата с каспофунгином.</w:t>
      </w:r>
    </w:p>
    <w:p w14:paraId="6421FE73" w14:textId="77777777" w:rsidR="00126CF1" w:rsidRPr="00C21F25" w:rsidRDefault="00126CF1" w:rsidP="00126CF1">
      <w:pPr>
        <w:spacing w:after="0" w:line="240" w:lineRule="auto"/>
        <w:jc w:val="both"/>
        <w:rPr>
          <w:rFonts w:ascii="Times New Roman" w:eastAsia="Times New Roman" w:hAnsi="Times New Roman"/>
          <w:bCs/>
          <w:iCs/>
          <w:sz w:val="24"/>
          <w:szCs w:val="24"/>
          <w:lang w:eastAsia="ru-RU"/>
        </w:rPr>
      </w:pPr>
      <w:r w:rsidRPr="00C21F25">
        <w:rPr>
          <w:rFonts w:ascii="Times New Roman" w:eastAsia="Times New Roman" w:hAnsi="Times New Roman"/>
          <w:bCs/>
          <w:iCs/>
          <w:sz w:val="24"/>
          <w:szCs w:val="24"/>
          <w:lang w:eastAsia="ru-RU"/>
        </w:rPr>
        <w:t>В 1-ый день сопутствующего применения у здоровых взрослых добровольцев рифампицин вызвал увеличение AUC каспофунгина на 60 % и повышение его концентрации на 170%. Концентрации каспофунгина постепенно снижались при повторном введении. После двухнедельного введения рифампицин оказывал ограниченное влияние на AUC, но концентрация каспофунгина была на 30% ниже, чем у взрослых пациентов, получавших только один каспофунгин. Механизм взаимодействия возможно обусловлен изначальным ингибированием и последующим индуцированием транспортных белков. Подобный эффект можно было ожидать и для других лекарственных препаратов, которые индуцируют метаболические ферменты</w:t>
      </w:r>
    </w:p>
    <w:p w14:paraId="072B6729" w14:textId="77777777" w:rsidR="00126CF1" w:rsidRDefault="00126CF1" w:rsidP="00126CF1">
      <w:pPr>
        <w:spacing w:after="0" w:line="240" w:lineRule="auto"/>
        <w:jc w:val="both"/>
        <w:rPr>
          <w:rFonts w:ascii="Times New Roman" w:eastAsia="Times New Roman" w:hAnsi="Times New Roman"/>
          <w:bCs/>
          <w:iCs/>
          <w:sz w:val="24"/>
          <w:szCs w:val="24"/>
          <w:lang w:eastAsia="ru-RU"/>
        </w:rPr>
      </w:pPr>
      <w:r w:rsidRPr="00C21F25">
        <w:rPr>
          <w:rFonts w:ascii="Times New Roman" w:eastAsia="Times New Roman" w:hAnsi="Times New Roman"/>
          <w:bCs/>
          <w:iCs/>
          <w:sz w:val="24"/>
          <w:szCs w:val="24"/>
          <w:lang w:eastAsia="ru-RU"/>
        </w:rPr>
        <w:t>Ограниченные данные популяционных фармакокинетических исследований указывают на то, что одновременное применение каспофунгина с индукторами эфавирензом, невирапином, рифампицином, дексаметазоном, дифенином или карбамазепином может привести к уменьшению AUC каспофунгина. При сопутствующем применении индукторов метаболических ферментов, необходимо рассмотреть возможность повышения суточной дозы каспофунгина у взрослых пациентов до 70 мг, после нагрузочной дозы 70 мг (см. раздел «Особые указания»).</w:t>
      </w:r>
    </w:p>
    <w:p w14:paraId="27213A28" w14:textId="77777777" w:rsidR="00126CF1" w:rsidRPr="00C21F25" w:rsidRDefault="00126CF1" w:rsidP="00126CF1">
      <w:pPr>
        <w:spacing w:after="0" w:line="240" w:lineRule="auto"/>
        <w:jc w:val="both"/>
        <w:rPr>
          <w:rFonts w:ascii="Times New Roman" w:eastAsia="Times New Roman" w:hAnsi="Times New Roman"/>
          <w:bCs/>
          <w:iCs/>
          <w:sz w:val="24"/>
          <w:szCs w:val="24"/>
          <w:lang w:eastAsia="ru-RU"/>
        </w:rPr>
      </w:pPr>
      <w:r w:rsidRPr="00C21F25">
        <w:rPr>
          <w:rFonts w:ascii="Times New Roman" w:eastAsia="Times New Roman" w:hAnsi="Times New Roman"/>
          <w:bCs/>
          <w:iCs/>
          <w:sz w:val="24"/>
          <w:szCs w:val="24"/>
          <w:lang w:eastAsia="ru-RU"/>
        </w:rPr>
        <w:t>Все описанные выше данные лекарственных взаимодействий у взрослых проводились с применением суточной дозы каспофунгина 50 или 70 мг. Взаимодействие более высоких доз каспофунгина с другими лекарственными препаратами официально не изучалось.</w:t>
      </w:r>
    </w:p>
    <w:p w14:paraId="40C0D517" w14:textId="77777777" w:rsidR="00126CF1" w:rsidRDefault="00126CF1" w:rsidP="00126CF1">
      <w:pPr>
        <w:spacing w:after="0" w:line="240" w:lineRule="auto"/>
        <w:jc w:val="both"/>
        <w:rPr>
          <w:rFonts w:ascii="Times New Roman" w:eastAsia="Times New Roman" w:hAnsi="Times New Roman"/>
          <w:bCs/>
          <w:iCs/>
          <w:sz w:val="24"/>
          <w:szCs w:val="24"/>
          <w:lang w:eastAsia="ru-RU"/>
        </w:rPr>
      </w:pPr>
      <w:r w:rsidRPr="00C21F25">
        <w:rPr>
          <w:rFonts w:ascii="Times New Roman" w:eastAsia="Times New Roman" w:hAnsi="Times New Roman"/>
          <w:bCs/>
          <w:iCs/>
          <w:sz w:val="24"/>
          <w:szCs w:val="24"/>
          <w:lang w:eastAsia="ru-RU"/>
        </w:rPr>
        <w:t xml:space="preserve">Результаты регрессионного анализа фармакокинетических данных у детей свидетельствуют о том, что одновременное применение дексаметазона с каспофунгином может привести к клинически значимым снижениям концентраций каспофунгина. Эти данные могут указывать на то, что у детей при применении с индукторами будут наблюдаться аналогичные снижения концентраций, как и у </w:t>
      </w:r>
      <w:r w:rsidRPr="00C21F25">
        <w:rPr>
          <w:rFonts w:ascii="Times New Roman" w:eastAsia="Times New Roman" w:hAnsi="Times New Roman"/>
          <w:bCs/>
          <w:iCs/>
          <w:sz w:val="24"/>
          <w:szCs w:val="24"/>
          <w:lang w:eastAsia="ru-RU"/>
        </w:rPr>
        <w:lastRenderedPageBreak/>
        <w:t>взрослых. При одновременном применении у детей (от 12 месяцев до 17 лет) каспофунгина с индукторами клиренса лекарственных веществ, таких как рифампицин, эфавиренз, невирапин, фенитоин, дексаметазон или карбамазепин, следует рассмотреть возможность применения дозы 70 мг/м</w:t>
      </w:r>
      <w:r w:rsidRPr="00B65CA6">
        <w:rPr>
          <w:rFonts w:ascii="Times New Roman" w:eastAsia="Times New Roman" w:hAnsi="Times New Roman"/>
          <w:bCs/>
          <w:iCs/>
          <w:sz w:val="24"/>
          <w:szCs w:val="24"/>
          <w:vertAlign w:val="superscript"/>
          <w:lang w:eastAsia="ru-RU"/>
        </w:rPr>
        <w:t>2</w:t>
      </w:r>
      <w:r w:rsidRPr="00C21F25">
        <w:rPr>
          <w:rFonts w:ascii="Times New Roman" w:eastAsia="Times New Roman" w:hAnsi="Times New Roman"/>
          <w:bCs/>
          <w:iCs/>
          <w:sz w:val="24"/>
          <w:szCs w:val="24"/>
          <w:lang w:eastAsia="ru-RU"/>
        </w:rPr>
        <w:t xml:space="preserve"> в сутки (не превышая фактической суточной дозы 70 мг).</w:t>
      </w:r>
    </w:p>
    <w:p w14:paraId="40BBB4EA" w14:textId="77777777" w:rsidR="00CE7F7F" w:rsidRPr="00EE5F5F" w:rsidRDefault="00CE7F7F" w:rsidP="0078568D">
      <w:pPr>
        <w:spacing w:after="0" w:line="240" w:lineRule="auto"/>
        <w:jc w:val="both"/>
        <w:rPr>
          <w:rFonts w:ascii="Times New Roman" w:eastAsia="Times New Roman" w:hAnsi="Times New Roman"/>
          <w:b/>
          <w:sz w:val="24"/>
          <w:szCs w:val="24"/>
          <w:lang w:eastAsia="ru-RU"/>
        </w:rPr>
      </w:pPr>
    </w:p>
    <w:p w14:paraId="7C183B83" w14:textId="77777777" w:rsidR="00B05BD1" w:rsidRPr="00EE5F5F" w:rsidRDefault="00B05BD1" w:rsidP="0078568D">
      <w:pPr>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 xml:space="preserve">4.6 </w:t>
      </w:r>
      <w:r w:rsidRPr="00EE5F5F">
        <w:rPr>
          <w:rFonts w:ascii="Times New Roman" w:eastAsia="Times New Roman" w:hAnsi="Times New Roman" w:hint="eastAsia"/>
          <w:b/>
          <w:sz w:val="24"/>
          <w:szCs w:val="24"/>
          <w:lang w:eastAsia="ru-RU"/>
        </w:rPr>
        <w:t>Фертильность</w:t>
      </w:r>
      <w:r w:rsidRPr="00EE5F5F">
        <w:rPr>
          <w:rFonts w:ascii="Times New Roman" w:eastAsia="Times New Roman" w:hAnsi="Times New Roman"/>
          <w:b/>
          <w:sz w:val="24"/>
          <w:szCs w:val="24"/>
          <w:lang w:eastAsia="ru-RU"/>
        </w:rPr>
        <w:t xml:space="preserve">, </w:t>
      </w:r>
      <w:r w:rsidRPr="00EE5F5F">
        <w:rPr>
          <w:rFonts w:ascii="Times New Roman" w:eastAsia="Times New Roman" w:hAnsi="Times New Roman" w:hint="eastAsia"/>
          <w:b/>
          <w:sz w:val="24"/>
          <w:szCs w:val="24"/>
          <w:lang w:eastAsia="ru-RU"/>
        </w:rPr>
        <w:t>беременность</w:t>
      </w:r>
      <w:r w:rsidRPr="00EE5F5F">
        <w:rPr>
          <w:rFonts w:ascii="Times New Roman" w:eastAsia="Times New Roman" w:hAnsi="Times New Roman"/>
          <w:b/>
          <w:sz w:val="24"/>
          <w:szCs w:val="24"/>
          <w:lang w:eastAsia="ru-RU"/>
        </w:rPr>
        <w:t xml:space="preserve"> </w:t>
      </w:r>
      <w:r w:rsidRPr="00EE5F5F">
        <w:rPr>
          <w:rFonts w:ascii="Times New Roman" w:eastAsia="Times New Roman" w:hAnsi="Times New Roman" w:hint="eastAsia"/>
          <w:b/>
          <w:sz w:val="24"/>
          <w:szCs w:val="24"/>
          <w:lang w:eastAsia="ru-RU"/>
        </w:rPr>
        <w:t>и</w:t>
      </w:r>
      <w:r w:rsidRPr="00EE5F5F">
        <w:rPr>
          <w:rFonts w:ascii="Times New Roman" w:eastAsia="Times New Roman" w:hAnsi="Times New Roman"/>
          <w:b/>
          <w:sz w:val="24"/>
          <w:szCs w:val="24"/>
          <w:lang w:eastAsia="ru-RU"/>
        </w:rPr>
        <w:t xml:space="preserve"> </w:t>
      </w:r>
      <w:r w:rsidRPr="00EE5F5F">
        <w:rPr>
          <w:rFonts w:ascii="Times New Roman" w:eastAsia="Times New Roman" w:hAnsi="Times New Roman" w:hint="eastAsia"/>
          <w:b/>
          <w:sz w:val="24"/>
          <w:szCs w:val="24"/>
          <w:lang w:eastAsia="ru-RU"/>
        </w:rPr>
        <w:t>лактация</w:t>
      </w:r>
      <w:r w:rsidRPr="00EE5F5F">
        <w:rPr>
          <w:rFonts w:ascii="Times New Roman" w:eastAsia="Times New Roman" w:hAnsi="Times New Roman"/>
          <w:b/>
          <w:sz w:val="24"/>
          <w:szCs w:val="24"/>
          <w:lang w:eastAsia="ru-RU"/>
        </w:rPr>
        <w:t>.</w:t>
      </w:r>
    </w:p>
    <w:p w14:paraId="48B00DDF" w14:textId="77777777" w:rsidR="00774247" w:rsidRPr="00774247" w:rsidRDefault="00774247" w:rsidP="00774247">
      <w:pPr>
        <w:spacing w:after="0" w:line="240" w:lineRule="auto"/>
        <w:jc w:val="both"/>
        <w:rPr>
          <w:rFonts w:ascii="Times New Roman" w:eastAsia="Times New Roman" w:hAnsi="Times New Roman"/>
          <w:bCs/>
          <w:i/>
          <w:sz w:val="24"/>
          <w:szCs w:val="24"/>
          <w:lang w:eastAsia="ru-RU"/>
        </w:rPr>
      </w:pPr>
      <w:r w:rsidRPr="00774247">
        <w:rPr>
          <w:rFonts w:ascii="Times New Roman" w:eastAsia="Times New Roman" w:hAnsi="Times New Roman"/>
          <w:bCs/>
          <w:i/>
          <w:sz w:val="24"/>
          <w:szCs w:val="24"/>
          <w:lang w:eastAsia="ru-RU"/>
        </w:rPr>
        <w:t>Беременность</w:t>
      </w:r>
    </w:p>
    <w:p w14:paraId="2510F277" w14:textId="77777777" w:rsidR="0078568D" w:rsidRDefault="00774247" w:rsidP="00774247">
      <w:pPr>
        <w:spacing w:after="0" w:line="240" w:lineRule="auto"/>
        <w:jc w:val="both"/>
        <w:rPr>
          <w:rFonts w:ascii="Times New Roman" w:eastAsia="Times New Roman" w:hAnsi="Times New Roman"/>
          <w:bCs/>
          <w:iCs/>
          <w:sz w:val="24"/>
          <w:szCs w:val="24"/>
          <w:lang w:eastAsia="ru-RU"/>
        </w:rPr>
      </w:pPr>
      <w:r w:rsidRPr="00774247">
        <w:rPr>
          <w:rFonts w:ascii="Times New Roman" w:eastAsia="Times New Roman" w:hAnsi="Times New Roman"/>
          <w:bCs/>
          <w:iCs/>
          <w:sz w:val="24"/>
          <w:szCs w:val="24"/>
          <w:lang w:eastAsia="ru-RU"/>
        </w:rPr>
        <w:t>Данные по применению каспофунгина беременным</w:t>
      </w:r>
      <w:r>
        <w:rPr>
          <w:rFonts w:ascii="Times New Roman" w:eastAsia="Times New Roman" w:hAnsi="Times New Roman"/>
          <w:bCs/>
          <w:iCs/>
          <w:sz w:val="24"/>
          <w:szCs w:val="24"/>
          <w:lang w:eastAsia="ru-RU"/>
        </w:rPr>
        <w:t>и</w:t>
      </w:r>
      <w:r w:rsidRPr="00774247">
        <w:rPr>
          <w:rFonts w:ascii="Times New Roman" w:eastAsia="Times New Roman" w:hAnsi="Times New Roman"/>
          <w:bCs/>
          <w:iCs/>
          <w:sz w:val="24"/>
          <w:szCs w:val="24"/>
          <w:lang w:eastAsia="ru-RU"/>
        </w:rPr>
        <w:t xml:space="preserve"> женщинам</w:t>
      </w:r>
      <w:r>
        <w:rPr>
          <w:rFonts w:ascii="Times New Roman" w:eastAsia="Times New Roman" w:hAnsi="Times New Roman"/>
          <w:bCs/>
          <w:iCs/>
          <w:sz w:val="24"/>
          <w:szCs w:val="24"/>
          <w:lang w:eastAsia="ru-RU"/>
        </w:rPr>
        <w:t>и</w:t>
      </w:r>
      <w:r w:rsidRPr="00774247">
        <w:rPr>
          <w:rFonts w:ascii="Times New Roman" w:eastAsia="Times New Roman" w:hAnsi="Times New Roman"/>
          <w:bCs/>
          <w:iCs/>
          <w:sz w:val="24"/>
          <w:szCs w:val="24"/>
          <w:lang w:eastAsia="ru-RU"/>
        </w:rPr>
        <w:t xml:space="preserve"> отсутствуют или ограничены. Каспофунгин не следует использовать во время беременности, если нет </w:t>
      </w:r>
      <w:r>
        <w:rPr>
          <w:rFonts w:ascii="Times New Roman" w:eastAsia="Times New Roman" w:hAnsi="Times New Roman"/>
          <w:bCs/>
          <w:iCs/>
          <w:sz w:val="24"/>
          <w:szCs w:val="24"/>
          <w:lang w:eastAsia="ru-RU"/>
        </w:rPr>
        <w:t>острой</w:t>
      </w:r>
      <w:r w:rsidRPr="00774247">
        <w:rPr>
          <w:rFonts w:ascii="Times New Roman" w:eastAsia="Times New Roman" w:hAnsi="Times New Roman"/>
          <w:bCs/>
          <w:iCs/>
          <w:sz w:val="24"/>
          <w:szCs w:val="24"/>
          <w:lang w:eastAsia="ru-RU"/>
        </w:rPr>
        <w:t xml:space="preserve"> необходимости. Исследования на животных </w:t>
      </w:r>
      <w:r>
        <w:rPr>
          <w:rFonts w:ascii="Times New Roman" w:eastAsia="Times New Roman" w:hAnsi="Times New Roman"/>
          <w:bCs/>
          <w:iCs/>
          <w:sz w:val="24"/>
          <w:szCs w:val="24"/>
          <w:lang w:eastAsia="ru-RU"/>
        </w:rPr>
        <w:t>выявили</w:t>
      </w:r>
      <w:r w:rsidRPr="00774247">
        <w:rPr>
          <w:rFonts w:ascii="Times New Roman" w:eastAsia="Times New Roman" w:hAnsi="Times New Roman"/>
          <w:bCs/>
          <w:iCs/>
          <w:sz w:val="24"/>
          <w:szCs w:val="24"/>
          <w:lang w:eastAsia="ru-RU"/>
        </w:rPr>
        <w:t xml:space="preserve"> токсич</w:t>
      </w:r>
      <w:r w:rsidR="00C83A16">
        <w:rPr>
          <w:rFonts w:ascii="Times New Roman" w:eastAsia="Times New Roman" w:hAnsi="Times New Roman"/>
          <w:bCs/>
          <w:iCs/>
          <w:sz w:val="24"/>
          <w:szCs w:val="24"/>
          <w:lang w:eastAsia="ru-RU"/>
        </w:rPr>
        <w:t>еские свойства</w:t>
      </w:r>
      <w:r w:rsidRPr="00774247">
        <w:rPr>
          <w:rFonts w:ascii="Times New Roman" w:eastAsia="Times New Roman" w:hAnsi="Times New Roman"/>
          <w:bCs/>
          <w:iCs/>
          <w:sz w:val="24"/>
          <w:szCs w:val="24"/>
          <w:lang w:eastAsia="ru-RU"/>
        </w:rPr>
        <w:t xml:space="preserve"> </w:t>
      </w:r>
      <w:r w:rsidR="00C83A16">
        <w:rPr>
          <w:rFonts w:ascii="Times New Roman" w:eastAsia="Times New Roman" w:hAnsi="Times New Roman"/>
          <w:bCs/>
          <w:iCs/>
          <w:sz w:val="24"/>
          <w:szCs w:val="24"/>
          <w:lang w:eastAsia="ru-RU"/>
        </w:rPr>
        <w:t>при</w:t>
      </w:r>
      <w:r w:rsidRPr="00774247">
        <w:rPr>
          <w:rFonts w:ascii="Times New Roman" w:eastAsia="Times New Roman" w:hAnsi="Times New Roman"/>
          <w:bCs/>
          <w:iCs/>
          <w:sz w:val="24"/>
          <w:szCs w:val="24"/>
          <w:lang w:eastAsia="ru-RU"/>
        </w:rPr>
        <w:t xml:space="preserve"> развити</w:t>
      </w:r>
      <w:r w:rsidR="00C83A16">
        <w:rPr>
          <w:rFonts w:ascii="Times New Roman" w:eastAsia="Times New Roman" w:hAnsi="Times New Roman"/>
          <w:bCs/>
          <w:iCs/>
          <w:sz w:val="24"/>
          <w:szCs w:val="24"/>
          <w:lang w:eastAsia="ru-RU"/>
        </w:rPr>
        <w:t>и</w:t>
      </w:r>
      <w:r w:rsidRPr="00774247">
        <w:rPr>
          <w:rFonts w:ascii="Times New Roman" w:eastAsia="Times New Roman" w:hAnsi="Times New Roman"/>
          <w:bCs/>
          <w:iCs/>
          <w:sz w:val="24"/>
          <w:szCs w:val="24"/>
          <w:lang w:eastAsia="ru-RU"/>
        </w:rPr>
        <w:t xml:space="preserve">. В исследованиях на животных было </w:t>
      </w:r>
      <w:r w:rsidR="00C83A16">
        <w:rPr>
          <w:rFonts w:ascii="Times New Roman" w:eastAsia="Times New Roman" w:hAnsi="Times New Roman"/>
          <w:bCs/>
          <w:iCs/>
          <w:sz w:val="24"/>
          <w:szCs w:val="24"/>
          <w:lang w:eastAsia="ru-RU"/>
        </w:rPr>
        <w:t>установлено</w:t>
      </w:r>
      <w:r w:rsidRPr="00774247">
        <w:rPr>
          <w:rFonts w:ascii="Times New Roman" w:eastAsia="Times New Roman" w:hAnsi="Times New Roman"/>
          <w:bCs/>
          <w:iCs/>
          <w:sz w:val="24"/>
          <w:szCs w:val="24"/>
          <w:lang w:eastAsia="ru-RU"/>
        </w:rPr>
        <w:t>, что каспофунгин проникает через плацентарный барьер.</w:t>
      </w:r>
    </w:p>
    <w:p w14:paraId="16327987" w14:textId="77777777" w:rsidR="00774247" w:rsidRPr="00774247" w:rsidRDefault="00774247" w:rsidP="00774247">
      <w:pPr>
        <w:spacing w:after="0" w:line="240" w:lineRule="auto"/>
        <w:jc w:val="both"/>
        <w:rPr>
          <w:rFonts w:ascii="Times New Roman" w:eastAsia="Times New Roman" w:hAnsi="Times New Roman"/>
          <w:bCs/>
          <w:i/>
          <w:sz w:val="24"/>
          <w:szCs w:val="24"/>
          <w:lang w:eastAsia="ru-RU"/>
        </w:rPr>
      </w:pPr>
      <w:r w:rsidRPr="00774247">
        <w:rPr>
          <w:rFonts w:ascii="Times New Roman" w:eastAsia="Times New Roman" w:hAnsi="Times New Roman"/>
          <w:bCs/>
          <w:i/>
          <w:sz w:val="24"/>
          <w:szCs w:val="24"/>
          <w:lang w:eastAsia="ru-RU"/>
        </w:rPr>
        <w:t>Кормление грудью</w:t>
      </w:r>
    </w:p>
    <w:p w14:paraId="296CEFA9" w14:textId="77777777" w:rsidR="00774247" w:rsidRDefault="00774247" w:rsidP="00774247">
      <w:pPr>
        <w:spacing w:after="0" w:line="240" w:lineRule="auto"/>
        <w:jc w:val="both"/>
        <w:rPr>
          <w:rFonts w:ascii="Times New Roman" w:eastAsia="Times New Roman" w:hAnsi="Times New Roman"/>
          <w:bCs/>
          <w:iCs/>
          <w:sz w:val="24"/>
          <w:szCs w:val="24"/>
          <w:lang w:eastAsia="ru-RU"/>
        </w:rPr>
      </w:pPr>
      <w:r w:rsidRPr="00774247">
        <w:rPr>
          <w:rFonts w:ascii="Times New Roman" w:eastAsia="Times New Roman" w:hAnsi="Times New Roman"/>
          <w:bCs/>
          <w:iCs/>
          <w:sz w:val="24"/>
          <w:szCs w:val="24"/>
          <w:lang w:eastAsia="ru-RU"/>
        </w:rPr>
        <w:t xml:space="preserve">Неизвестно, выделяется ли каспофунгин с грудным молоком. Доступные фармакодинамические/токсикологические данные у животных </w:t>
      </w:r>
      <w:r>
        <w:rPr>
          <w:rFonts w:ascii="Times New Roman" w:eastAsia="Times New Roman" w:hAnsi="Times New Roman"/>
          <w:bCs/>
          <w:iCs/>
          <w:sz w:val="24"/>
          <w:szCs w:val="24"/>
          <w:lang w:eastAsia="ru-RU"/>
        </w:rPr>
        <w:t>выявили свойство каспофунгина выделяться с грудным молоком</w:t>
      </w:r>
      <w:r w:rsidRPr="00774247">
        <w:rPr>
          <w:rFonts w:ascii="Times New Roman" w:eastAsia="Times New Roman" w:hAnsi="Times New Roman"/>
          <w:bCs/>
          <w:iCs/>
          <w:sz w:val="24"/>
          <w:szCs w:val="24"/>
          <w:lang w:eastAsia="ru-RU"/>
        </w:rPr>
        <w:t>. Женщин</w:t>
      </w:r>
      <w:r>
        <w:rPr>
          <w:rFonts w:ascii="Times New Roman" w:eastAsia="Times New Roman" w:hAnsi="Times New Roman"/>
          <w:bCs/>
          <w:iCs/>
          <w:sz w:val="24"/>
          <w:szCs w:val="24"/>
          <w:lang w:eastAsia="ru-RU"/>
        </w:rPr>
        <w:t>ам</w:t>
      </w:r>
      <w:r w:rsidRPr="00774247">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принимающим </w:t>
      </w:r>
      <w:r w:rsidRPr="00774247">
        <w:rPr>
          <w:rFonts w:ascii="Times New Roman" w:eastAsia="Times New Roman" w:hAnsi="Times New Roman"/>
          <w:bCs/>
          <w:iCs/>
          <w:sz w:val="24"/>
          <w:szCs w:val="24"/>
          <w:lang w:eastAsia="ru-RU"/>
        </w:rPr>
        <w:t xml:space="preserve">каспофунгин, </w:t>
      </w:r>
      <w:r>
        <w:rPr>
          <w:rFonts w:ascii="Times New Roman" w:eastAsia="Times New Roman" w:hAnsi="Times New Roman"/>
          <w:bCs/>
          <w:iCs/>
          <w:sz w:val="24"/>
          <w:szCs w:val="24"/>
          <w:lang w:eastAsia="ru-RU"/>
        </w:rPr>
        <w:t>следует отменить грудное вскармливание</w:t>
      </w:r>
      <w:r w:rsidRPr="00774247">
        <w:rPr>
          <w:rFonts w:ascii="Times New Roman" w:eastAsia="Times New Roman" w:hAnsi="Times New Roman"/>
          <w:bCs/>
          <w:iCs/>
          <w:sz w:val="24"/>
          <w:szCs w:val="24"/>
          <w:lang w:eastAsia="ru-RU"/>
        </w:rPr>
        <w:t>.</w:t>
      </w:r>
    </w:p>
    <w:p w14:paraId="5332E209" w14:textId="77777777" w:rsidR="009E7B3E" w:rsidRPr="009E7B3E" w:rsidRDefault="009E7B3E" w:rsidP="009E7B3E">
      <w:pPr>
        <w:spacing w:after="0" w:line="240" w:lineRule="auto"/>
        <w:jc w:val="both"/>
        <w:rPr>
          <w:rFonts w:ascii="Times New Roman" w:eastAsia="Times New Roman" w:hAnsi="Times New Roman"/>
          <w:bCs/>
          <w:i/>
          <w:sz w:val="24"/>
          <w:szCs w:val="24"/>
          <w:lang w:eastAsia="ru-RU"/>
        </w:rPr>
      </w:pPr>
      <w:r w:rsidRPr="009E7B3E">
        <w:rPr>
          <w:rFonts w:ascii="Times New Roman" w:eastAsia="Times New Roman" w:hAnsi="Times New Roman"/>
          <w:bCs/>
          <w:i/>
          <w:sz w:val="24"/>
          <w:szCs w:val="24"/>
          <w:lang w:eastAsia="ru-RU"/>
        </w:rPr>
        <w:t>Фертильность</w:t>
      </w:r>
    </w:p>
    <w:p w14:paraId="62166396" w14:textId="77777777" w:rsidR="009E7B3E" w:rsidRPr="00774247" w:rsidRDefault="004124BA" w:rsidP="009E7B3E">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w:t>
      </w:r>
      <w:r w:rsidR="009E7B3E" w:rsidRPr="009E7B3E">
        <w:rPr>
          <w:rFonts w:ascii="Times New Roman" w:eastAsia="Times New Roman" w:hAnsi="Times New Roman"/>
          <w:bCs/>
          <w:iCs/>
          <w:sz w:val="24"/>
          <w:szCs w:val="24"/>
          <w:lang w:eastAsia="ru-RU"/>
        </w:rPr>
        <w:t xml:space="preserve"> исследованиях, проведенных на самцах и самках крыс, не </w:t>
      </w:r>
      <w:r>
        <w:rPr>
          <w:rFonts w:ascii="Times New Roman" w:eastAsia="Times New Roman" w:hAnsi="Times New Roman"/>
          <w:bCs/>
          <w:iCs/>
          <w:sz w:val="24"/>
          <w:szCs w:val="24"/>
          <w:lang w:eastAsia="ru-RU"/>
        </w:rPr>
        <w:t>обнаружено</w:t>
      </w:r>
      <w:r w:rsidR="009E7B3E" w:rsidRPr="009E7B3E">
        <w:rPr>
          <w:rFonts w:ascii="Times New Roman" w:eastAsia="Times New Roman" w:hAnsi="Times New Roman"/>
          <w:bCs/>
          <w:iCs/>
          <w:sz w:val="24"/>
          <w:szCs w:val="24"/>
          <w:lang w:eastAsia="ru-RU"/>
        </w:rPr>
        <w:t xml:space="preserve"> никакого влияния</w:t>
      </w:r>
      <w:r w:rsidR="0094533D">
        <w:rPr>
          <w:rFonts w:ascii="Times New Roman" w:eastAsia="Times New Roman" w:hAnsi="Times New Roman"/>
          <w:bCs/>
          <w:iCs/>
          <w:sz w:val="24"/>
          <w:szCs w:val="24"/>
          <w:lang w:eastAsia="ru-RU"/>
        </w:rPr>
        <w:t>, оказываемого</w:t>
      </w:r>
      <w:r w:rsidR="009E7B3E" w:rsidRPr="009E7B3E">
        <w:rPr>
          <w:rFonts w:ascii="Times New Roman" w:eastAsia="Times New Roman" w:hAnsi="Times New Roman"/>
          <w:bCs/>
          <w:iCs/>
          <w:sz w:val="24"/>
          <w:szCs w:val="24"/>
          <w:lang w:eastAsia="ru-RU"/>
        </w:rPr>
        <w:t xml:space="preserve"> на фертильност</w:t>
      </w:r>
      <w:r>
        <w:rPr>
          <w:rFonts w:ascii="Times New Roman" w:eastAsia="Times New Roman" w:hAnsi="Times New Roman"/>
          <w:bCs/>
          <w:iCs/>
          <w:sz w:val="24"/>
          <w:szCs w:val="24"/>
          <w:lang w:eastAsia="ru-RU"/>
        </w:rPr>
        <w:t>ь</w:t>
      </w:r>
      <w:r w:rsidR="009E7B3E" w:rsidRPr="009E7B3E">
        <w:rPr>
          <w:rFonts w:ascii="Times New Roman" w:eastAsia="Times New Roman" w:hAnsi="Times New Roman"/>
          <w:bCs/>
          <w:iCs/>
          <w:sz w:val="24"/>
          <w:szCs w:val="24"/>
          <w:lang w:eastAsia="ru-RU"/>
        </w:rPr>
        <w:t>. Клинические данные по каспофунгину для оценки его влияния на фертильность отсутствуют.</w:t>
      </w:r>
    </w:p>
    <w:p w14:paraId="0FF7560D" w14:textId="77777777" w:rsidR="000B4EF4" w:rsidRDefault="000B4EF4" w:rsidP="00CE7F7F">
      <w:pPr>
        <w:spacing w:after="0" w:line="240" w:lineRule="auto"/>
        <w:jc w:val="both"/>
        <w:rPr>
          <w:rFonts w:ascii="Times New Roman" w:eastAsia="Times New Roman" w:hAnsi="Times New Roman"/>
          <w:b/>
          <w:sz w:val="24"/>
          <w:szCs w:val="24"/>
          <w:lang w:eastAsia="ru-RU"/>
        </w:rPr>
      </w:pPr>
    </w:p>
    <w:p w14:paraId="1EACDB0F" w14:textId="77777777" w:rsidR="00CE7F7F" w:rsidRPr="00EE5F5F" w:rsidRDefault="00DB406A" w:rsidP="00CE7F7F">
      <w:pPr>
        <w:spacing w:after="0" w:line="240" w:lineRule="auto"/>
        <w:jc w:val="both"/>
        <w:rPr>
          <w:b/>
          <w:i/>
          <w:sz w:val="24"/>
          <w:szCs w:val="24"/>
        </w:rPr>
      </w:pPr>
      <w:r w:rsidRPr="00EE5F5F">
        <w:rPr>
          <w:rFonts w:ascii="Times New Roman" w:eastAsia="Times New Roman" w:hAnsi="Times New Roman"/>
          <w:b/>
          <w:sz w:val="24"/>
          <w:szCs w:val="24"/>
          <w:lang w:eastAsia="ru-RU"/>
        </w:rPr>
        <w:t>4.</w:t>
      </w:r>
      <w:r w:rsidR="00B05BD1" w:rsidRPr="00EE5F5F">
        <w:rPr>
          <w:rFonts w:ascii="Times New Roman" w:eastAsia="Times New Roman" w:hAnsi="Times New Roman"/>
          <w:b/>
          <w:sz w:val="24"/>
          <w:szCs w:val="24"/>
          <w:lang w:eastAsia="ru-RU"/>
        </w:rPr>
        <w:t>7</w:t>
      </w:r>
      <w:r w:rsidRPr="00EE5F5F">
        <w:rPr>
          <w:rFonts w:ascii="Times New Roman" w:eastAsia="Times New Roman" w:hAnsi="Times New Roman"/>
          <w:b/>
          <w:sz w:val="24"/>
          <w:szCs w:val="24"/>
          <w:lang w:eastAsia="ru-RU"/>
        </w:rPr>
        <w:t xml:space="preserve"> </w:t>
      </w:r>
      <w:r w:rsidR="00B05BD1" w:rsidRPr="00EE5F5F">
        <w:rPr>
          <w:rFonts w:ascii="Times New Roman" w:eastAsia="Times New Roman" w:hAnsi="Times New Roman"/>
          <w:b/>
          <w:sz w:val="24"/>
          <w:szCs w:val="24"/>
          <w:lang w:eastAsia="ru-RU"/>
        </w:rPr>
        <w:t xml:space="preserve">Влияние на способность управлять транспортными средствами и </w:t>
      </w:r>
      <w:r w:rsidR="00CE7F7F" w:rsidRPr="00EE5F5F">
        <w:rPr>
          <w:rFonts w:ascii="Times New Roman" w:hAnsi="Times New Roman"/>
          <w:b/>
          <w:sz w:val="24"/>
          <w:szCs w:val="24"/>
        </w:rPr>
        <w:t>потенциально опасными механизмами</w:t>
      </w:r>
      <w:r w:rsidR="00CE7F7F" w:rsidRPr="00EE5F5F">
        <w:rPr>
          <w:rFonts w:ascii="Times New Roman" w:eastAsia="Times New Roman" w:hAnsi="Times New Roman"/>
          <w:b/>
          <w:sz w:val="24"/>
          <w:szCs w:val="24"/>
          <w:lang w:eastAsia="ru-RU"/>
        </w:rPr>
        <w:t xml:space="preserve"> </w:t>
      </w:r>
      <w:bookmarkStart w:id="5" w:name="2175220282"/>
    </w:p>
    <w:p w14:paraId="685C99FA" w14:textId="77777777" w:rsidR="002E04B7" w:rsidRDefault="004124BA" w:rsidP="0078568D">
      <w:pPr>
        <w:spacing w:after="0" w:line="240" w:lineRule="auto"/>
        <w:jc w:val="both"/>
        <w:rPr>
          <w:rFonts w:ascii="Times New Roman" w:eastAsia="Times New Roman" w:hAnsi="Times New Roman"/>
          <w:sz w:val="24"/>
          <w:szCs w:val="24"/>
          <w:lang w:eastAsia="ru-RU"/>
        </w:rPr>
      </w:pPr>
      <w:r w:rsidRPr="004124BA">
        <w:rPr>
          <w:rFonts w:ascii="Times New Roman" w:eastAsia="Times New Roman" w:hAnsi="Times New Roman"/>
          <w:sz w:val="24"/>
          <w:szCs w:val="24"/>
          <w:lang w:eastAsia="ru-RU"/>
        </w:rPr>
        <w:t>Исследования по изучению влияния на способность к управлению транспортными средствами и использованию механизмов не проводились. Учитывая возможность развития головной боли на фоне лечения Касфоцином, нужно проявлять особую осторожность при управлении автомобилем и работе с механизмами.</w:t>
      </w:r>
    </w:p>
    <w:p w14:paraId="438BE942" w14:textId="77777777" w:rsidR="004124BA" w:rsidRPr="00EE5F5F" w:rsidRDefault="004124BA" w:rsidP="0078568D">
      <w:pPr>
        <w:spacing w:after="0" w:line="240" w:lineRule="auto"/>
        <w:jc w:val="both"/>
        <w:rPr>
          <w:rFonts w:ascii="Times New Roman" w:eastAsia="Times New Roman" w:hAnsi="Times New Roman"/>
          <w:b/>
          <w:sz w:val="24"/>
          <w:szCs w:val="24"/>
          <w:lang w:eastAsia="ru-RU"/>
        </w:rPr>
      </w:pPr>
    </w:p>
    <w:p w14:paraId="69804FDB" w14:textId="77777777" w:rsidR="009D67EC" w:rsidRDefault="009D67EC" w:rsidP="0078568D">
      <w:pPr>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4.8 Нежелательные реакции</w:t>
      </w:r>
      <w:bookmarkEnd w:id="5"/>
    </w:p>
    <w:p w14:paraId="7A847E50" w14:textId="77777777" w:rsidR="00B26D35" w:rsidRPr="00B26D35" w:rsidRDefault="00B26D35" w:rsidP="00B26D35">
      <w:pPr>
        <w:spacing w:after="0" w:line="240" w:lineRule="auto"/>
        <w:jc w:val="both"/>
        <w:rPr>
          <w:rFonts w:ascii="Times New Roman" w:hAnsi="Times New Roman"/>
          <w:color w:val="000000"/>
          <w:sz w:val="24"/>
          <w:szCs w:val="24"/>
        </w:rPr>
      </w:pPr>
      <w:r w:rsidRPr="00B26D35">
        <w:rPr>
          <w:rFonts w:ascii="Times New Roman" w:hAnsi="Times New Roman"/>
          <w:color w:val="000000"/>
          <w:sz w:val="24"/>
          <w:szCs w:val="24"/>
        </w:rPr>
        <w:t xml:space="preserve">Сообщалось о реакциях гиперчувствительности (анафилаксия </w:t>
      </w:r>
      <w:r w:rsidR="005252D5" w:rsidRPr="00B26D35">
        <w:rPr>
          <w:rFonts w:ascii="Times New Roman" w:hAnsi="Times New Roman"/>
          <w:color w:val="000000"/>
          <w:sz w:val="24"/>
          <w:szCs w:val="24"/>
        </w:rPr>
        <w:t>и, вероятно,</w:t>
      </w:r>
      <w:r w:rsidRPr="00B26D35">
        <w:rPr>
          <w:rFonts w:ascii="Times New Roman" w:hAnsi="Times New Roman"/>
          <w:color w:val="000000"/>
          <w:sz w:val="24"/>
          <w:szCs w:val="24"/>
        </w:rPr>
        <w:t xml:space="preserve"> гистамин-опосредованные побочные реакции).</w:t>
      </w:r>
    </w:p>
    <w:p w14:paraId="47EEC9A2" w14:textId="77777777" w:rsidR="00B26D35" w:rsidRDefault="00B26D35" w:rsidP="00B26D35">
      <w:pPr>
        <w:spacing w:after="0" w:line="240" w:lineRule="auto"/>
        <w:jc w:val="both"/>
        <w:rPr>
          <w:rFonts w:ascii="Times New Roman" w:hAnsi="Times New Roman"/>
          <w:color w:val="000000"/>
          <w:sz w:val="24"/>
          <w:szCs w:val="24"/>
        </w:rPr>
      </w:pPr>
      <w:r w:rsidRPr="00B26D35">
        <w:rPr>
          <w:rFonts w:ascii="Times New Roman" w:hAnsi="Times New Roman"/>
          <w:color w:val="000000"/>
          <w:sz w:val="24"/>
          <w:szCs w:val="24"/>
        </w:rPr>
        <w:t>Также сообщалось об отеке легких, респираторном дистресс-синдроме взрослых (ARDS) и рентгенографических инфильтратах у пациентов с инвазивным аспергиллезом.</w:t>
      </w:r>
    </w:p>
    <w:p w14:paraId="2EBA2E62" w14:textId="77777777" w:rsidR="00B26D35" w:rsidRPr="00C83A16" w:rsidRDefault="00B26D35" w:rsidP="00B26D35">
      <w:pPr>
        <w:spacing w:after="0" w:line="240" w:lineRule="auto"/>
        <w:jc w:val="both"/>
        <w:rPr>
          <w:rFonts w:ascii="Times New Roman" w:hAnsi="Times New Roman"/>
          <w:i/>
          <w:iCs/>
          <w:color w:val="000000"/>
          <w:sz w:val="24"/>
          <w:szCs w:val="24"/>
        </w:rPr>
      </w:pPr>
      <w:r w:rsidRPr="00C83A16">
        <w:rPr>
          <w:rFonts w:ascii="Times New Roman" w:hAnsi="Times New Roman"/>
          <w:i/>
          <w:iCs/>
          <w:color w:val="000000"/>
          <w:sz w:val="24"/>
          <w:szCs w:val="24"/>
        </w:rPr>
        <w:t>Взрослые пациенты</w:t>
      </w:r>
    </w:p>
    <w:p w14:paraId="379239F9" w14:textId="77777777" w:rsidR="00B26D35" w:rsidRPr="00B26D35" w:rsidRDefault="00B26D35" w:rsidP="00B26D35">
      <w:pPr>
        <w:spacing w:after="0" w:line="240" w:lineRule="auto"/>
        <w:jc w:val="both"/>
        <w:rPr>
          <w:rFonts w:ascii="Times New Roman" w:hAnsi="Times New Roman"/>
          <w:color w:val="000000"/>
          <w:sz w:val="24"/>
          <w:szCs w:val="24"/>
        </w:rPr>
      </w:pPr>
      <w:r w:rsidRPr="00B26D35">
        <w:rPr>
          <w:rFonts w:ascii="Times New Roman" w:hAnsi="Times New Roman"/>
          <w:color w:val="000000"/>
          <w:sz w:val="24"/>
          <w:szCs w:val="24"/>
        </w:rPr>
        <w:t xml:space="preserve">В клинических исследованиях безопасности каспофунгина участвовали 1865 взрослых пациентов, принимавших одну или несколько доз препарата. Из них 564 пациента были с фебрильной нейтропенией (после химиотерапии злокачественных опухолей или трансплантации гемопоэтических стволовых клеток) получали эмпирическую терапию; 382 пациента имели инвазивный кандидоз, 228 пациентов - инвазивный аспергиллез, 297 пациентов с локализованным формами кандидоза и 394 испытуемых, включенных в исследования I фазы. Пациенты с инвазивным кандидозом и аспергиллезом имели серьезные основные заболевания (гематологические или злокачественные опухоли, недавно перенесенные полостные операции, трансплантация костного мозга или периферических стволовых клеток, ВИЧ), требующие приема нескольких сопутствующих препаратов. </w:t>
      </w:r>
    </w:p>
    <w:p w14:paraId="7FC6CD29" w14:textId="77777777" w:rsidR="00B26D35" w:rsidRPr="00B26D35" w:rsidRDefault="00B26D35" w:rsidP="00B26D35">
      <w:pPr>
        <w:spacing w:after="0" w:line="240" w:lineRule="auto"/>
        <w:jc w:val="both"/>
        <w:rPr>
          <w:rFonts w:ascii="Times New Roman" w:hAnsi="Times New Roman"/>
          <w:color w:val="000000"/>
          <w:sz w:val="24"/>
          <w:szCs w:val="24"/>
        </w:rPr>
      </w:pPr>
      <w:r w:rsidRPr="00B26D35">
        <w:rPr>
          <w:rFonts w:ascii="Times New Roman" w:hAnsi="Times New Roman"/>
          <w:color w:val="000000"/>
          <w:sz w:val="24"/>
          <w:szCs w:val="24"/>
        </w:rPr>
        <w:t>Часто сообщаемой нежелательной реакцией в месте инъекции у всех групп пациентов был флебит. Другие местные реакции включали эритему, боль/болезненность, зуд, припухлость и чувство жжения.</w:t>
      </w:r>
    </w:p>
    <w:p w14:paraId="08B99795" w14:textId="77777777" w:rsidR="00B26D35" w:rsidRPr="00B26D35" w:rsidRDefault="00B26D35" w:rsidP="00B26D35">
      <w:pPr>
        <w:spacing w:after="0" w:line="240" w:lineRule="auto"/>
        <w:jc w:val="both"/>
        <w:rPr>
          <w:rFonts w:ascii="Times New Roman" w:hAnsi="Times New Roman"/>
          <w:color w:val="000000"/>
          <w:sz w:val="24"/>
          <w:szCs w:val="24"/>
        </w:rPr>
      </w:pPr>
      <w:r w:rsidRPr="00B26D35">
        <w:rPr>
          <w:rFonts w:ascii="Times New Roman" w:hAnsi="Times New Roman"/>
          <w:color w:val="000000"/>
          <w:sz w:val="24"/>
          <w:szCs w:val="24"/>
        </w:rPr>
        <w:lastRenderedPageBreak/>
        <w:t>Зарегистрированные клинические симптомы и лабораторные отклонения у всех взрослых пациентов, получавших каспофунгин (N=1780), обычно были легкими и редко приводили к отмене препарата.</w:t>
      </w:r>
    </w:p>
    <w:p w14:paraId="52F8E201" w14:textId="77777777" w:rsidR="00B26D35" w:rsidRDefault="00B26D35" w:rsidP="00B26D35">
      <w:pPr>
        <w:spacing w:after="0" w:line="240" w:lineRule="auto"/>
        <w:jc w:val="both"/>
        <w:rPr>
          <w:rFonts w:ascii="Times New Roman" w:hAnsi="Times New Roman"/>
          <w:color w:val="000000"/>
          <w:sz w:val="24"/>
          <w:szCs w:val="24"/>
        </w:rPr>
      </w:pPr>
      <w:r w:rsidRPr="00B26D35">
        <w:rPr>
          <w:rFonts w:ascii="Times New Roman" w:hAnsi="Times New Roman"/>
          <w:color w:val="000000"/>
          <w:sz w:val="24"/>
          <w:szCs w:val="24"/>
        </w:rPr>
        <w:t>Во время клинических исследований и/или пост</w:t>
      </w:r>
      <w:r>
        <w:rPr>
          <w:rFonts w:ascii="Times New Roman" w:hAnsi="Times New Roman"/>
          <w:color w:val="000000"/>
          <w:sz w:val="24"/>
          <w:szCs w:val="24"/>
        </w:rPr>
        <w:t>регистрационного</w:t>
      </w:r>
      <w:r w:rsidRPr="00B26D35">
        <w:rPr>
          <w:rFonts w:ascii="Times New Roman" w:hAnsi="Times New Roman"/>
          <w:color w:val="000000"/>
          <w:sz w:val="24"/>
          <w:szCs w:val="24"/>
        </w:rPr>
        <w:t xml:space="preserve"> использования сообщалось о следующих побочных реакциях:</w:t>
      </w:r>
    </w:p>
    <w:p w14:paraId="31032704" w14:textId="58A4CE9C" w:rsidR="00B26D35" w:rsidRPr="004D761F" w:rsidRDefault="00957BAF" w:rsidP="00B26D35">
      <w:pPr>
        <w:spacing w:after="0" w:line="240" w:lineRule="auto"/>
        <w:jc w:val="both"/>
        <w:rPr>
          <w:rFonts w:ascii="Times New Roman" w:hAnsi="Times New Roman"/>
          <w:i/>
          <w:sz w:val="24"/>
          <w:szCs w:val="24"/>
        </w:rPr>
      </w:pPr>
      <w:r w:rsidRPr="004D761F">
        <w:rPr>
          <w:rFonts w:ascii="Times New Roman" w:eastAsia="Times New Roman" w:hAnsi="Times New Roman"/>
          <w:bCs/>
          <w:i/>
          <w:sz w:val="24"/>
          <w:szCs w:val="24"/>
          <w:lang w:eastAsia="ru-RU"/>
        </w:rPr>
        <w:t>Определение частоты побочных явлений проводится в соответствии со следующими критериями: очень часто (≥ 1/10), часто (≥ от 1/100 до &lt; 1/10), нечасто (≥ от 1/1000 до &lt; 1/100), редко (≥ 1/10000 до  &lt; 1/1000), очень редко (&lt; 1/10000),</w:t>
      </w:r>
      <w:r w:rsidRPr="004D761F">
        <w:rPr>
          <w:rFonts w:ascii="Times New Roman" w:hAnsi="Times New Roman"/>
          <w:i/>
          <w:sz w:val="24"/>
          <w:szCs w:val="24"/>
        </w:rPr>
        <w:t xml:space="preserve"> неизвестно</w:t>
      </w:r>
      <w:r w:rsidR="00B26D35" w:rsidRPr="004D761F">
        <w:rPr>
          <w:rFonts w:ascii="Times New Roman" w:hAnsi="Times New Roman"/>
          <w:i/>
          <w:sz w:val="24"/>
          <w:szCs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2038"/>
        <w:gridCol w:w="3998"/>
        <w:gridCol w:w="1477"/>
      </w:tblGrid>
      <w:tr w:rsidR="00B26D35" w:rsidRPr="00B26D35" w14:paraId="3E50F17A" w14:textId="77777777" w:rsidTr="00122958">
        <w:trPr>
          <w:trHeight w:val="20"/>
        </w:trPr>
        <w:tc>
          <w:tcPr>
            <w:tcW w:w="1843" w:type="dxa"/>
          </w:tcPr>
          <w:p w14:paraId="60FC9872"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Системные и органные нарушения</w:t>
            </w:r>
          </w:p>
        </w:tc>
        <w:tc>
          <w:tcPr>
            <w:tcW w:w="2038" w:type="dxa"/>
          </w:tcPr>
          <w:p w14:paraId="55713F01" w14:textId="77777777" w:rsidR="00B26D35" w:rsidRPr="00C83A16" w:rsidRDefault="00B26D35" w:rsidP="00EA4DE3">
            <w:pPr>
              <w:spacing w:after="0" w:line="240" w:lineRule="auto"/>
              <w:ind w:left="51" w:right="119"/>
              <w:rPr>
                <w:rFonts w:ascii="Times New Roman" w:hAnsi="Times New Roman"/>
              </w:rPr>
            </w:pPr>
            <w:r w:rsidRPr="00C83A16">
              <w:rPr>
                <w:rFonts w:ascii="Times New Roman" w:hAnsi="Times New Roman"/>
                <w:b/>
                <w:i/>
              </w:rPr>
              <w:t>Часто</w:t>
            </w:r>
          </w:p>
          <w:p w14:paraId="748AF149" w14:textId="77777777" w:rsidR="00B26D35" w:rsidRPr="00C83A16" w:rsidRDefault="00B26D35" w:rsidP="00EA4DE3">
            <w:pPr>
              <w:spacing w:after="0" w:line="240" w:lineRule="auto"/>
              <w:ind w:left="51" w:right="119"/>
              <w:rPr>
                <w:rFonts w:ascii="Times New Roman" w:hAnsi="Times New Roman"/>
              </w:rPr>
            </w:pPr>
            <w:r w:rsidRPr="00C83A16">
              <w:rPr>
                <w:rFonts w:ascii="Times New Roman" w:hAnsi="Times New Roman"/>
                <w:b/>
                <w:i/>
              </w:rPr>
              <w:t>(от ≥1/100 до &lt;1/10)</w:t>
            </w:r>
          </w:p>
        </w:tc>
        <w:tc>
          <w:tcPr>
            <w:tcW w:w="3998" w:type="dxa"/>
          </w:tcPr>
          <w:p w14:paraId="11577B41" w14:textId="4C098A5C" w:rsidR="00B26D35" w:rsidRPr="00C83A16" w:rsidRDefault="00B26D35" w:rsidP="00122958">
            <w:pPr>
              <w:spacing w:line="216" w:lineRule="auto"/>
              <w:ind w:left="49" w:right="120"/>
              <w:rPr>
                <w:rFonts w:ascii="Times New Roman" w:hAnsi="Times New Roman"/>
              </w:rPr>
            </w:pPr>
            <w:r w:rsidRPr="00C83A16">
              <w:rPr>
                <w:rFonts w:ascii="Times New Roman" w:hAnsi="Times New Roman"/>
                <w:b/>
                <w:i/>
              </w:rPr>
              <w:t>Нечасто (от ≥1/1000 до &lt;1/100)</w:t>
            </w:r>
          </w:p>
        </w:tc>
        <w:tc>
          <w:tcPr>
            <w:tcW w:w="1477" w:type="dxa"/>
          </w:tcPr>
          <w:p w14:paraId="6420184B" w14:textId="2789E487" w:rsidR="00B26D35" w:rsidRPr="00C83A16" w:rsidRDefault="00B26D35" w:rsidP="00122958">
            <w:pPr>
              <w:spacing w:line="216" w:lineRule="auto"/>
              <w:ind w:left="49" w:right="120"/>
              <w:rPr>
                <w:rFonts w:ascii="Times New Roman" w:hAnsi="Times New Roman"/>
              </w:rPr>
            </w:pPr>
            <w:r w:rsidRPr="00C83A16">
              <w:rPr>
                <w:rFonts w:ascii="Times New Roman" w:hAnsi="Times New Roman"/>
                <w:b/>
                <w:i/>
              </w:rPr>
              <w:t xml:space="preserve">Неизвестно </w:t>
            </w:r>
          </w:p>
        </w:tc>
      </w:tr>
      <w:tr w:rsidR="00B26D35" w:rsidRPr="00B26D35" w14:paraId="0C8DCA6E" w14:textId="77777777" w:rsidTr="00122958">
        <w:trPr>
          <w:trHeight w:val="20"/>
        </w:trPr>
        <w:tc>
          <w:tcPr>
            <w:tcW w:w="1843" w:type="dxa"/>
          </w:tcPr>
          <w:p w14:paraId="424CB54E"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крови и лимфатической системы</w:t>
            </w:r>
          </w:p>
        </w:tc>
        <w:tc>
          <w:tcPr>
            <w:tcW w:w="2038" w:type="dxa"/>
          </w:tcPr>
          <w:p w14:paraId="13D43EF7"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rPr>
              <w:t>снижение гемоглобина, снижение гематокрита, уменьшение количества лейкоцитов</w:t>
            </w:r>
          </w:p>
        </w:tc>
        <w:tc>
          <w:tcPr>
            <w:tcW w:w="3998" w:type="dxa"/>
          </w:tcPr>
          <w:p w14:paraId="50804419"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t>анемия, тромбоцитопения, коагулопатия, лейкопения, увеличение количества эозинофилов, уменьшение количества тромбоцитов, увеличение количества тромбоцитов, уменьшение количества лимфоцитов, увеличение количества лейкоцитов, уменьшение количества нейтрофилов</w:t>
            </w:r>
          </w:p>
        </w:tc>
        <w:tc>
          <w:tcPr>
            <w:tcW w:w="1477" w:type="dxa"/>
          </w:tcPr>
          <w:p w14:paraId="63C16007" w14:textId="77777777" w:rsidR="00B26D35" w:rsidRPr="00C83A16" w:rsidRDefault="00B26D35" w:rsidP="00122958">
            <w:pPr>
              <w:spacing w:line="216" w:lineRule="auto"/>
              <w:ind w:left="49" w:right="120"/>
              <w:rPr>
                <w:rFonts w:ascii="Times New Roman" w:hAnsi="Times New Roman"/>
              </w:rPr>
            </w:pPr>
          </w:p>
        </w:tc>
      </w:tr>
      <w:tr w:rsidR="00B26D35" w:rsidRPr="00B26D35" w14:paraId="187AB2AF" w14:textId="77777777" w:rsidTr="00122958">
        <w:trPr>
          <w:trHeight w:val="20"/>
        </w:trPr>
        <w:tc>
          <w:tcPr>
            <w:tcW w:w="1843" w:type="dxa"/>
          </w:tcPr>
          <w:p w14:paraId="369BA84A"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обмена веществ и питания</w:t>
            </w:r>
          </w:p>
        </w:tc>
        <w:tc>
          <w:tcPr>
            <w:tcW w:w="2038" w:type="dxa"/>
          </w:tcPr>
          <w:p w14:paraId="0C93FFEB"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rPr>
              <w:t>гипокалиемия</w:t>
            </w:r>
          </w:p>
        </w:tc>
        <w:tc>
          <w:tcPr>
            <w:tcW w:w="3998" w:type="dxa"/>
          </w:tcPr>
          <w:p w14:paraId="24CD9677"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t>гиперволемия, гипомагниемия, анорексия, электролитный дисбаланс, гипергликемия, гипокальциемия, метаболический ацидоз</w:t>
            </w:r>
          </w:p>
        </w:tc>
        <w:tc>
          <w:tcPr>
            <w:tcW w:w="1477" w:type="dxa"/>
          </w:tcPr>
          <w:p w14:paraId="7E1220A1" w14:textId="77777777" w:rsidR="00B26D35" w:rsidRPr="00C83A16" w:rsidRDefault="00B26D35" w:rsidP="00122958">
            <w:pPr>
              <w:spacing w:line="216" w:lineRule="auto"/>
              <w:ind w:left="49" w:right="120"/>
              <w:rPr>
                <w:rFonts w:ascii="Times New Roman" w:hAnsi="Times New Roman"/>
              </w:rPr>
            </w:pPr>
          </w:p>
        </w:tc>
      </w:tr>
      <w:tr w:rsidR="00B26D35" w:rsidRPr="00B26D35" w14:paraId="331D755D" w14:textId="77777777" w:rsidTr="00122958">
        <w:trPr>
          <w:trHeight w:val="20"/>
        </w:trPr>
        <w:tc>
          <w:tcPr>
            <w:tcW w:w="1843" w:type="dxa"/>
          </w:tcPr>
          <w:p w14:paraId="36259028"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b/>
                <w:i/>
              </w:rPr>
              <w:t>Психические расстройства</w:t>
            </w:r>
          </w:p>
        </w:tc>
        <w:tc>
          <w:tcPr>
            <w:tcW w:w="2038" w:type="dxa"/>
          </w:tcPr>
          <w:p w14:paraId="5A182B4B" w14:textId="77777777" w:rsidR="00B26D35" w:rsidRPr="00C83A16" w:rsidRDefault="00B26D35" w:rsidP="00122958">
            <w:pPr>
              <w:spacing w:line="216" w:lineRule="auto"/>
              <w:ind w:left="49" w:right="120"/>
              <w:rPr>
                <w:rFonts w:ascii="Times New Roman" w:hAnsi="Times New Roman"/>
              </w:rPr>
            </w:pPr>
          </w:p>
        </w:tc>
        <w:tc>
          <w:tcPr>
            <w:tcW w:w="3998" w:type="dxa"/>
          </w:tcPr>
          <w:p w14:paraId="6C41B123"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t>тревога, дезориентация, бессонница</w:t>
            </w:r>
          </w:p>
        </w:tc>
        <w:tc>
          <w:tcPr>
            <w:tcW w:w="1477" w:type="dxa"/>
          </w:tcPr>
          <w:p w14:paraId="2F358433" w14:textId="77777777" w:rsidR="00B26D35" w:rsidRPr="00C83A16" w:rsidRDefault="00B26D35" w:rsidP="00122958">
            <w:pPr>
              <w:spacing w:line="216" w:lineRule="auto"/>
              <w:ind w:left="49" w:right="120"/>
              <w:rPr>
                <w:rFonts w:ascii="Times New Roman" w:hAnsi="Times New Roman"/>
              </w:rPr>
            </w:pPr>
          </w:p>
        </w:tc>
      </w:tr>
      <w:tr w:rsidR="00B26D35" w:rsidRPr="00B26D35" w14:paraId="397A5249" w14:textId="77777777" w:rsidTr="00122958">
        <w:trPr>
          <w:trHeight w:val="20"/>
        </w:trPr>
        <w:tc>
          <w:tcPr>
            <w:tcW w:w="1843" w:type="dxa"/>
          </w:tcPr>
          <w:p w14:paraId="0C2C4CA7"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нервной системы</w:t>
            </w:r>
          </w:p>
        </w:tc>
        <w:tc>
          <w:tcPr>
            <w:tcW w:w="2038" w:type="dxa"/>
          </w:tcPr>
          <w:p w14:paraId="1A854A4F"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rPr>
              <w:t>головная боль</w:t>
            </w:r>
          </w:p>
        </w:tc>
        <w:tc>
          <w:tcPr>
            <w:tcW w:w="3998" w:type="dxa"/>
          </w:tcPr>
          <w:p w14:paraId="06806F8D" w14:textId="77777777" w:rsidR="00B26D35" w:rsidRPr="00C83A16" w:rsidRDefault="00B26D35" w:rsidP="00D353CF">
            <w:pPr>
              <w:spacing w:line="216" w:lineRule="auto"/>
              <w:ind w:left="49" w:right="120"/>
              <w:jc w:val="both"/>
              <w:rPr>
                <w:rFonts w:ascii="Times New Roman" w:hAnsi="Times New Roman"/>
              </w:rPr>
            </w:pPr>
            <w:r w:rsidRPr="00C83A16">
              <w:rPr>
                <w:rFonts w:ascii="Times New Roman" w:hAnsi="Times New Roman"/>
              </w:rPr>
              <w:t>головокружение, дисгевзия, парестезия, сонливость, тремор, гипестезия</w:t>
            </w:r>
          </w:p>
        </w:tc>
        <w:tc>
          <w:tcPr>
            <w:tcW w:w="1477" w:type="dxa"/>
          </w:tcPr>
          <w:p w14:paraId="08442634" w14:textId="77777777" w:rsidR="00B26D35" w:rsidRPr="00C83A16" w:rsidRDefault="00B26D35" w:rsidP="00122958">
            <w:pPr>
              <w:spacing w:line="216" w:lineRule="auto"/>
              <w:ind w:left="49" w:right="120"/>
              <w:rPr>
                <w:rFonts w:ascii="Times New Roman" w:hAnsi="Times New Roman"/>
              </w:rPr>
            </w:pPr>
          </w:p>
        </w:tc>
      </w:tr>
      <w:tr w:rsidR="00B26D35" w:rsidRPr="00B26D35" w14:paraId="011C55A4" w14:textId="77777777" w:rsidTr="00122958">
        <w:trPr>
          <w:trHeight w:val="20"/>
        </w:trPr>
        <w:tc>
          <w:tcPr>
            <w:tcW w:w="1843" w:type="dxa"/>
          </w:tcPr>
          <w:p w14:paraId="24B3999B"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зрения</w:t>
            </w:r>
          </w:p>
        </w:tc>
        <w:tc>
          <w:tcPr>
            <w:tcW w:w="2038" w:type="dxa"/>
          </w:tcPr>
          <w:p w14:paraId="1918960B" w14:textId="77777777" w:rsidR="00B26D35" w:rsidRPr="00C83A16" w:rsidRDefault="00B26D35" w:rsidP="00122958">
            <w:pPr>
              <w:spacing w:line="216" w:lineRule="auto"/>
              <w:ind w:left="49" w:right="120"/>
              <w:rPr>
                <w:rFonts w:ascii="Times New Roman" w:hAnsi="Times New Roman"/>
              </w:rPr>
            </w:pPr>
          </w:p>
        </w:tc>
        <w:tc>
          <w:tcPr>
            <w:tcW w:w="3998" w:type="dxa"/>
          </w:tcPr>
          <w:p w14:paraId="5F40E974"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t>желтушность склер глаз, нечеткость зрения, отек век, повышенное слезотечение</w:t>
            </w:r>
          </w:p>
        </w:tc>
        <w:tc>
          <w:tcPr>
            <w:tcW w:w="1477" w:type="dxa"/>
          </w:tcPr>
          <w:p w14:paraId="5848EF97" w14:textId="77777777" w:rsidR="00B26D35" w:rsidRPr="00C83A16" w:rsidRDefault="00B26D35" w:rsidP="00122958">
            <w:pPr>
              <w:spacing w:line="216" w:lineRule="auto"/>
              <w:ind w:left="49" w:right="120"/>
              <w:rPr>
                <w:rFonts w:ascii="Times New Roman" w:hAnsi="Times New Roman"/>
              </w:rPr>
            </w:pPr>
          </w:p>
        </w:tc>
      </w:tr>
      <w:tr w:rsidR="00B26D35" w:rsidRPr="00B26D35" w14:paraId="11079827" w14:textId="77777777" w:rsidTr="00122958">
        <w:trPr>
          <w:trHeight w:val="20"/>
        </w:trPr>
        <w:tc>
          <w:tcPr>
            <w:tcW w:w="1843" w:type="dxa"/>
          </w:tcPr>
          <w:p w14:paraId="370E29A1"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сердца</w:t>
            </w:r>
          </w:p>
        </w:tc>
        <w:tc>
          <w:tcPr>
            <w:tcW w:w="2038" w:type="dxa"/>
          </w:tcPr>
          <w:p w14:paraId="355FD00B" w14:textId="77777777" w:rsidR="00B26D35" w:rsidRPr="00C83A16" w:rsidRDefault="00B26D35" w:rsidP="00122958">
            <w:pPr>
              <w:spacing w:line="216" w:lineRule="auto"/>
              <w:ind w:left="49" w:right="120"/>
              <w:rPr>
                <w:rFonts w:ascii="Times New Roman" w:hAnsi="Times New Roman"/>
              </w:rPr>
            </w:pPr>
          </w:p>
        </w:tc>
        <w:tc>
          <w:tcPr>
            <w:tcW w:w="3998" w:type="dxa"/>
          </w:tcPr>
          <w:p w14:paraId="37BD1109"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t>учащенное сердцебиение, тахикардия, аритмия, фибрилляция предсердий, застойная сердечная недостаточность</w:t>
            </w:r>
          </w:p>
        </w:tc>
        <w:tc>
          <w:tcPr>
            <w:tcW w:w="1477" w:type="dxa"/>
          </w:tcPr>
          <w:p w14:paraId="6B435458" w14:textId="77777777" w:rsidR="00B26D35" w:rsidRPr="00C83A16" w:rsidRDefault="00B26D35" w:rsidP="00122958">
            <w:pPr>
              <w:spacing w:line="216" w:lineRule="auto"/>
              <w:ind w:left="49" w:right="120"/>
              <w:rPr>
                <w:rFonts w:ascii="Times New Roman" w:hAnsi="Times New Roman"/>
              </w:rPr>
            </w:pPr>
          </w:p>
        </w:tc>
      </w:tr>
      <w:tr w:rsidR="00B26D35" w:rsidRPr="00B26D35" w14:paraId="2CF12A1A" w14:textId="77777777" w:rsidTr="00122958">
        <w:trPr>
          <w:trHeight w:val="20"/>
        </w:trPr>
        <w:tc>
          <w:tcPr>
            <w:tcW w:w="1843" w:type="dxa"/>
          </w:tcPr>
          <w:p w14:paraId="6B64BE19"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сосудов</w:t>
            </w:r>
          </w:p>
        </w:tc>
        <w:tc>
          <w:tcPr>
            <w:tcW w:w="2038" w:type="dxa"/>
          </w:tcPr>
          <w:p w14:paraId="12DDAC30"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rPr>
              <w:t>флебит</w:t>
            </w:r>
          </w:p>
        </w:tc>
        <w:tc>
          <w:tcPr>
            <w:tcW w:w="3998" w:type="dxa"/>
          </w:tcPr>
          <w:p w14:paraId="5D235E84" w14:textId="77777777" w:rsidR="00B26D35" w:rsidRPr="00C83A16" w:rsidRDefault="00B26D35" w:rsidP="00D353CF">
            <w:pPr>
              <w:spacing w:line="216" w:lineRule="auto"/>
              <w:ind w:left="49" w:right="120"/>
              <w:jc w:val="both"/>
              <w:rPr>
                <w:rFonts w:ascii="Times New Roman" w:hAnsi="Times New Roman"/>
              </w:rPr>
            </w:pPr>
            <w:r w:rsidRPr="00C83A16">
              <w:rPr>
                <w:rFonts w:ascii="Times New Roman" w:hAnsi="Times New Roman"/>
              </w:rPr>
              <w:t>тромбофлебит, гиперемия, приливы, гипертония, гипотония</w:t>
            </w:r>
          </w:p>
        </w:tc>
        <w:tc>
          <w:tcPr>
            <w:tcW w:w="1477" w:type="dxa"/>
          </w:tcPr>
          <w:p w14:paraId="30EDC6D2" w14:textId="77777777" w:rsidR="00B26D35" w:rsidRPr="00C83A16" w:rsidRDefault="00B26D35" w:rsidP="00122958">
            <w:pPr>
              <w:spacing w:line="216" w:lineRule="auto"/>
              <w:ind w:left="49" w:right="120"/>
              <w:rPr>
                <w:rFonts w:ascii="Times New Roman" w:hAnsi="Times New Roman"/>
              </w:rPr>
            </w:pPr>
          </w:p>
        </w:tc>
      </w:tr>
      <w:tr w:rsidR="00B26D35" w:rsidRPr="00B26D35" w14:paraId="75C9B90F" w14:textId="77777777" w:rsidTr="00122958">
        <w:trPr>
          <w:trHeight w:val="1739"/>
        </w:trPr>
        <w:tc>
          <w:tcPr>
            <w:tcW w:w="1843" w:type="dxa"/>
          </w:tcPr>
          <w:p w14:paraId="3AE8E9AF"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дыхательной системы, органов грудной клетки и средостения</w:t>
            </w:r>
          </w:p>
        </w:tc>
        <w:tc>
          <w:tcPr>
            <w:tcW w:w="2038" w:type="dxa"/>
          </w:tcPr>
          <w:p w14:paraId="1459A7EF"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rPr>
              <w:t>одышка</w:t>
            </w:r>
          </w:p>
        </w:tc>
        <w:tc>
          <w:tcPr>
            <w:tcW w:w="3998" w:type="dxa"/>
          </w:tcPr>
          <w:p w14:paraId="4E8C28A1"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t>заложенность носа, фаринголарингеальная боль, тахипноэ, бронхоспазм, кашель, ночная пароксизмальная одышка, гипоксия, хрипы, свистящее дыхание</w:t>
            </w:r>
          </w:p>
        </w:tc>
        <w:tc>
          <w:tcPr>
            <w:tcW w:w="1477" w:type="dxa"/>
          </w:tcPr>
          <w:p w14:paraId="71FF9A27" w14:textId="77777777" w:rsidR="00B26D35" w:rsidRPr="00C83A16" w:rsidRDefault="00B26D35" w:rsidP="00122958">
            <w:pPr>
              <w:spacing w:line="216" w:lineRule="auto"/>
              <w:ind w:left="49" w:right="120"/>
              <w:rPr>
                <w:rFonts w:ascii="Times New Roman" w:hAnsi="Times New Roman"/>
              </w:rPr>
            </w:pPr>
          </w:p>
        </w:tc>
      </w:tr>
      <w:tr w:rsidR="00B26D35" w:rsidRPr="00B26D35" w14:paraId="746203C4" w14:textId="77777777" w:rsidTr="00122958">
        <w:trPr>
          <w:trHeight w:val="20"/>
        </w:trPr>
        <w:tc>
          <w:tcPr>
            <w:tcW w:w="1843" w:type="dxa"/>
          </w:tcPr>
          <w:p w14:paraId="56CD6E0F"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желудочно-кишечного тракта</w:t>
            </w:r>
          </w:p>
        </w:tc>
        <w:tc>
          <w:tcPr>
            <w:tcW w:w="2038" w:type="dxa"/>
          </w:tcPr>
          <w:p w14:paraId="220407CC"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rPr>
              <w:t>тошнота, диарея, рвота</w:t>
            </w:r>
          </w:p>
        </w:tc>
        <w:tc>
          <w:tcPr>
            <w:tcW w:w="3998" w:type="dxa"/>
          </w:tcPr>
          <w:p w14:paraId="0FABE87E"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t>боль в животе, боль в верхней части живота, сухость во рту, диспепсия, дискомфорт в желудке, вздутие живота, асцит, запор, дисфагия, метеоризм</w:t>
            </w:r>
          </w:p>
        </w:tc>
        <w:tc>
          <w:tcPr>
            <w:tcW w:w="1477" w:type="dxa"/>
          </w:tcPr>
          <w:p w14:paraId="5102D2E9" w14:textId="77777777" w:rsidR="00B26D35" w:rsidRPr="00C83A16" w:rsidRDefault="00B26D35" w:rsidP="00122958">
            <w:pPr>
              <w:spacing w:line="216" w:lineRule="auto"/>
              <w:ind w:left="49" w:right="120"/>
              <w:rPr>
                <w:rFonts w:ascii="Times New Roman" w:hAnsi="Times New Roman"/>
              </w:rPr>
            </w:pPr>
          </w:p>
        </w:tc>
      </w:tr>
      <w:tr w:rsidR="00B26D35" w:rsidRPr="00B26D35" w14:paraId="7381C845" w14:textId="77777777" w:rsidTr="00122958">
        <w:trPr>
          <w:trHeight w:val="20"/>
        </w:trPr>
        <w:tc>
          <w:tcPr>
            <w:tcW w:w="1843" w:type="dxa"/>
          </w:tcPr>
          <w:p w14:paraId="6F376F36"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печени и желчевыводящих путей</w:t>
            </w:r>
          </w:p>
        </w:tc>
        <w:tc>
          <w:tcPr>
            <w:tcW w:w="2038" w:type="dxa"/>
          </w:tcPr>
          <w:p w14:paraId="3CB251F2"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rPr>
              <w:t>Повышение печеночных проб (аланин-аминотрансфераза (АЛТ), аспартат-</w:t>
            </w:r>
            <w:r w:rsidRPr="00C83A16">
              <w:rPr>
                <w:rFonts w:ascii="Times New Roman" w:hAnsi="Times New Roman"/>
              </w:rPr>
              <w:lastRenderedPageBreak/>
              <w:t>аминотрансфераза (АСТ), щелочная фосфатаза крови, конъюгированный билирубин, билирубин крови)</w:t>
            </w:r>
          </w:p>
        </w:tc>
        <w:tc>
          <w:tcPr>
            <w:tcW w:w="3998" w:type="dxa"/>
          </w:tcPr>
          <w:p w14:paraId="1FFE76F9"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lastRenderedPageBreak/>
              <w:t>холестаз, гепатомегалия, гипербилирубинемия, желтуха, нарушения функции печени, гепатотоксичность, печеночные расстройства, повышенная гамма-</w:t>
            </w:r>
            <w:r w:rsidRPr="00C83A16">
              <w:rPr>
                <w:rFonts w:ascii="Times New Roman" w:hAnsi="Times New Roman"/>
              </w:rPr>
              <w:lastRenderedPageBreak/>
              <w:t>глютамилтрансфераза</w:t>
            </w:r>
          </w:p>
        </w:tc>
        <w:tc>
          <w:tcPr>
            <w:tcW w:w="1477" w:type="dxa"/>
          </w:tcPr>
          <w:p w14:paraId="002701EE" w14:textId="77777777" w:rsidR="00B26D35" w:rsidRPr="00C83A16" w:rsidRDefault="00B26D35" w:rsidP="00122958">
            <w:pPr>
              <w:spacing w:line="216" w:lineRule="auto"/>
              <w:ind w:left="49" w:right="120"/>
              <w:rPr>
                <w:rFonts w:ascii="Times New Roman" w:hAnsi="Times New Roman"/>
              </w:rPr>
            </w:pPr>
          </w:p>
        </w:tc>
      </w:tr>
      <w:tr w:rsidR="00B26D35" w:rsidRPr="00B26D35" w14:paraId="6134F178" w14:textId="77777777" w:rsidTr="00122958">
        <w:trPr>
          <w:trHeight w:val="20"/>
        </w:trPr>
        <w:tc>
          <w:tcPr>
            <w:tcW w:w="1843" w:type="dxa"/>
          </w:tcPr>
          <w:p w14:paraId="54ED03D7"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кожи и подкожной клетчатки</w:t>
            </w:r>
          </w:p>
        </w:tc>
        <w:tc>
          <w:tcPr>
            <w:tcW w:w="2038" w:type="dxa"/>
          </w:tcPr>
          <w:p w14:paraId="23B9323D" w14:textId="77777777" w:rsidR="00B26D35" w:rsidRPr="00C83A16" w:rsidRDefault="00B26D35" w:rsidP="00122958">
            <w:pPr>
              <w:spacing w:line="216" w:lineRule="auto"/>
              <w:ind w:left="49" w:right="53"/>
              <w:rPr>
                <w:rFonts w:ascii="Times New Roman" w:hAnsi="Times New Roman"/>
              </w:rPr>
            </w:pPr>
            <w:r w:rsidRPr="00C83A16">
              <w:rPr>
                <w:rFonts w:ascii="Times New Roman" w:hAnsi="Times New Roman"/>
              </w:rPr>
              <w:t>сыпь, зуд, эритема, гипергидроз</w:t>
            </w:r>
          </w:p>
        </w:tc>
        <w:tc>
          <w:tcPr>
            <w:tcW w:w="3998" w:type="dxa"/>
          </w:tcPr>
          <w:p w14:paraId="12C90D8D"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t>мультиформная эритема, макулярная сыпь, пятнисто-папулёзная сыпь, зудящая сыпь, крапивница, аллергический дерматит, генерализо- ванный зуд, эритематозная сыпь, генерализованная сыпь, кореподобная сыпь, повреждение кожи</w:t>
            </w:r>
          </w:p>
        </w:tc>
        <w:tc>
          <w:tcPr>
            <w:tcW w:w="1477" w:type="dxa"/>
          </w:tcPr>
          <w:p w14:paraId="4619A753"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rPr>
              <w:t>Токсический эпидер-мальный некролиз и синдром Стивенса-Джонсона</w:t>
            </w:r>
          </w:p>
        </w:tc>
      </w:tr>
      <w:tr w:rsidR="00B26D35" w:rsidRPr="00B26D35" w14:paraId="772B038C" w14:textId="77777777" w:rsidTr="00122958">
        <w:trPr>
          <w:trHeight w:val="20"/>
        </w:trPr>
        <w:tc>
          <w:tcPr>
            <w:tcW w:w="1843" w:type="dxa"/>
          </w:tcPr>
          <w:p w14:paraId="47206C06"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костно-мышечной и соединительной ткани</w:t>
            </w:r>
          </w:p>
        </w:tc>
        <w:tc>
          <w:tcPr>
            <w:tcW w:w="2038" w:type="dxa"/>
          </w:tcPr>
          <w:p w14:paraId="41DCFD71"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rPr>
              <w:t>артралгия</w:t>
            </w:r>
          </w:p>
        </w:tc>
        <w:tc>
          <w:tcPr>
            <w:tcW w:w="3998" w:type="dxa"/>
          </w:tcPr>
          <w:p w14:paraId="55F3BB08" w14:textId="77777777" w:rsidR="00B26D35" w:rsidRPr="00C83A16" w:rsidRDefault="00B26D35" w:rsidP="00D353CF">
            <w:pPr>
              <w:spacing w:line="216" w:lineRule="auto"/>
              <w:ind w:left="49" w:right="120"/>
              <w:jc w:val="both"/>
              <w:rPr>
                <w:rFonts w:ascii="Times New Roman" w:hAnsi="Times New Roman"/>
              </w:rPr>
            </w:pPr>
            <w:r w:rsidRPr="00C83A16">
              <w:rPr>
                <w:rFonts w:ascii="Times New Roman" w:hAnsi="Times New Roman"/>
              </w:rPr>
              <w:t>боль в спине, боль в конечностях, боль в костях, мышечная слабость, миалгия</w:t>
            </w:r>
          </w:p>
        </w:tc>
        <w:tc>
          <w:tcPr>
            <w:tcW w:w="1477" w:type="dxa"/>
          </w:tcPr>
          <w:p w14:paraId="025AF9BA" w14:textId="77777777" w:rsidR="00B26D35" w:rsidRPr="00C83A16" w:rsidRDefault="00B26D35" w:rsidP="00122958">
            <w:pPr>
              <w:spacing w:line="216" w:lineRule="auto"/>
              <w:ind w:left="49" w:right="120"/>
              <w:rPr>
                <w:rFonts w:ascii="Times New Roman" w:hAnsi="Times New Roman"/>
              </w:rPr>
            </w:pPr>
          </w:p>
        </w:tc>
      </w:tr>
      <w:tr w:rsidR="00B26D35" w:rsidRPr="00B26D35" w14:paraId="4E1C082E" w14:textId="77777777" w:rsidTr="00122958">
        <w:trPr>
          <w:trHeight w:val="20"/>
        </w:trPr>
        <w:tc>
          <w:tcPr>
            <w:tcW w:w="1843" w:type="dxa"/>
          </w:tcPr>
          <w:p w14:paraId="48340DCB"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Нарушения со стороны почек и мочевыводящих путей</w:t>
            </w:r>
          </w:p>
        </w:tc>
        <w:tc>
          <w:tcPr>
            <w:tcW w:w="2038" w:type="dxa"/>
          </w:tcPr>
          <w:p w14:paraId="1001FFF0" w14:textId="77777777" w:rsidR="00B26D35" w:rsidRPr="00C83A16" w:rsidRDefault="00B26D35" w:rsidP="00122958">
            <w:pPr>
              <w:spacing w:line="216" w:lineRule="auto"/>
              <w:ind w:left="49" w:right="120"/>
              <w:rPr>
                <w:rFonts w:ascii="Times New Roman" w:hAnsi="Times New Roman"/>
              </w:rPr>
            </w:pPr>
          </w:p>
        </w:tc>
        <w:tc>
          <w:tcPr>
            <w:tcW w:w="3998" w:type="dxa"/>
          </w:tcPr>
          <w:p w14:paraId="37C44FD6" w14:textId="77777777" w:rsidR="00B26D35" w:rsidRPr="00C83A16" w:rsidRDefault="00B26D35" w:rsidP="00D353CF">
            <w:pPr>
              <w:spacing w:line="216" w:lineRule="auto"/>
              <w:ind w:left="49" w:right="120"/>
              <w:jc w:val="both"/>
              <w:rPr>
                <w:rFonts w:ascii="Times New Roman" w:hAnsi="Times New Roman"/>
              </w:rPr>
            </w:pPr>
            <w:r w:rsidRPr="00C83A16">
              <w:rPr>
                <w:rFonts w:ascii="Times New Roman" w:hAnsi="Times New Roman"/>
              </w:rPr>
              <w:t>почечная недостаточность, острая почечная недостаточность</w:t>
            </w:r>
          </w:p>
        </w:tc>
        <w:tc>
          <w:tcPr>
            <w:tcW w:w="1477" w:type="dxa"/>
          </w:tcPr>
          <w:p w14:paraId="0137A0AF" w14:textId="77777777" w:rsidR="00B26D35" w:rsidRPr="00C83A16" w:rsidRDefault="00B26D35" w:rsidP="00122958">
            <w:pPr>
              <w:spacing w:line="216" w:lineRule="auto"/>
              <w:ind w:left="49" w:right="120"/>
              <w:rPr>
                <w:rFonts w:ascii="Times New Roman" w:hAnsi="Times New Roman"/>
              </w:rPr>
            </w:pPr>
          </w:p>
        </w:tc>
      </w:tr>
      <w:tr w:rsidR="00B26D35" w:rsidRPr="00B26D35" w14:paraId="09648826" w14:textId="77777777" w:rsidTr="00122958">
        <w:trPr>
          <w:trHeight w:val="275"/>
        </w:trPr>
        <w:tc>
          <w:tcPr>
            <w:tcW w:w="1843" w:type="dxa"/>
          </w:tcPr>
          <w:p w14:paraId="2472A5CE" w14:textId="77777777" w:rsidR="00B26D35" w:rsidRPr="00C83A16" w:rsidRDefault="00B26D35" w:rsidP="00122958">
            <w:pPr>
              <w:spacing w:line="216" w:lineRule="auto"/>
              <w:ind w:left="49"/>
              <w:rPr>
                <w:rFonts w:ascii="Times New Roman" w:hAnsi="Times New Roman"/>
              </w:rPr>
            </w:pPr>
            <w:r w:rsidRPr="00C83A16">
              <w:rPr>
                <w:rFonts w:ascii="Times New Roman" w:hAnsi="Times New Roman"/>
                <w:b/>
                <w:i/>
              </w:rPr>
              <w:t>Осложнения общего характера и реакции в месте введения</w:t>
            </w:r>
          </w:p>
        </w:tc>
        <w:tc>
          <w:tcPr>
            <w:tcW w:w="2038" w:type="dxa"/>
          </w:tcPr>
          <w:p w14:paraId="5D4F8DA6"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rPr>
              <w:t>гипертермия, озноб, зуд в месте инфузии</w:t>
            </w:r>
          </w:p>
        </w:tc>
        <w:tc>
          <w:tcPr>
            <w:tcW w:w="3998" w:type="dxa"/>
          </w:tcPr>
          <w:p w14:paraId="4FFA13E3"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t>боль, боль в месте введения катетера, утомляемость, озноб, жар, покраснение в месте инфузии, уплотнение в месте инфузии, боль в месте инфузии, припухлость в месте инфузии, флебит в месте инъекции, периферический отек, болезненность, дискомфорт в груди, боль в груди, отек лица, ощущение изменения температуры тела, уплотнение, кровоизлияние в месте инфузии, раздражение в месте инфузии, флебит в месте инфузии, сыпь в месте инфузии, крапивница в месте инфузии, покраснение в месте инъекции, отек в месте инъекции, боль в месте инъекции, опухание в месте инъекции, недомогание, отек</w:t>
            </w:r>
          </w:p>
        </w:tc>
        <w:tc>
          <w:tcPr>
            <w:tcW w:w="1477" w:type="dxa"/>
          </w:tcPr>
          <w:p w14:paraId="47D9CB99" w14:textId="77777777" w:rsidR="00B26D35" w:rsidRPr="00C83A16" w:rsidRDefault="00B26D35" w:rsidP="00122958">
            <w:pPr>
              <w:spacing w:line="216" w:lineRule="auto"/>
              <w:ind w:left="49" w:right="120"/>
              <w:rPr>
                <w:rFonts w:ascii="Times New Roman" w:hAnsi="Times New Roman"/>
              </w:rPr>
            </w:pPr>
          </w:p>
        </w:tc>
      </w:tr>
      <w:tr w:rsidR="00B26D35" w:rsidRPr="00B26D35" w14:paraId="2CBBB9D7" w14:textId="77777777" w:rsidTr="00122958">
        <w:trPr>
          <w:trHeight w:val="20"/>
        </w:trPr>
        <w:tc>
          <w:tcPr>
            <w:tcW w:w="1843" w:type="dxa"/>
          </w:tcPr>
          <w:p w14:paraId="70C7CBEE"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b/>
                <w:i/>
              </w:rPr>
              <w:t>Лабораторныеисследования</w:t>
            </w:r>
          </w:p>
        </w:tc>
        <w:tc>
          <w:tcPr>
            <w:tcW w:w="2038" w:type="dxa"/>
          </w:tcPr>
          <w:p w14:paraId="3BE75728" w14:textId="77777777" w:rsidR="00B26D35" w:rsidRPr="00C83A16" w:rsidRDefault="00B26D35" w:rsidP="00122958">
            <w:pPr>
              <w:spacing w:line="216" w:lineRule="auto"/>
              <w:ind w:left="49" w:right="120"/>
              <w:rPr>
                <w:rFonts w:ascii="Times New Roman" w:hAnsi="Times New Roman"/>
              </w:rPr>
            </w:pPr>
            <w:r w:rsidRPr="00C83A16">
              <w:rPr>
                <w:rFonts w:ascii="Times New Roman" w:hAnsi="Times New Roman"/>
              </w:rPr>
              <w:t>Снижение уровня калия в крови, снижение уровня альбумина в крови</w:t>
            </w:r>
          </w:p>
        </w:tc>
        <w:tc>
          <w:tcPr>
            <w:tcW w:w="3998" w:type="dxa"/>
          </w:tcPr>
          <w:p w14:paraId="35077060" w14:textId="77777777" w:rsidR="00B26D35" w:rsidRPr="00C83A16" w:rsidRDefault="00B26D35" w:rsidP="00D353CF">
            <w:pPr>
              <w:spacing w:line="216" w:lineRule="auto"/>
              <w:ind w:left="49"/>
              <w:jc w:val="both"/>
              <w:rPr>
                <w:rFonts w:ascii="Times New Roman" w:hAnsi="Times New Roman"/>
              </w:rPr>
            </w:pPr>
            <w:r w:rsidRPr="00C83A16">
              <w:rPr>
                <w:rFonts w:ascii="Times New Roman" w:hAnsi="Times New Roman"/>
              </w:rPr>
              <w:t xml:space="preserve">повышение креатинина крови, положительный анализ на эритроциты в моче, снижение уровня общего белка, наличие белка в моче, удлинение протромбинового времени, укорочение протромбинового времени, снижение уровня натрия в крови, повышение уровня натрия в крови, понижение уровня кальция в крови, повышение кальция в крови, понижение уровня хлорида натрия в крови, повышение уровня глюкозы в крови, понижение уровня магния в крови, понижение уровня фосфора в крови, повышение уровня фосфора в крови, повышение уровня мочевины в крови, удлинение активированного частичного тромбопластинового времени, понижение уровня бикарбоната в крови, повышение уровня хлорида натрия в </w:t>
            </w:r>
            <w:r w:rsidRPr="00C83A16">
              <w:rPr>
                <w:rFonts w:ascii="Times New Roman" w:hAnsi="Times New Roman"/>
              </w:rPr>
              <w:lastRenderedPageBreak/>
              <w:t>крови, повышение уровня калия в крови, повышение артериального давление, понижение уровня мочевой кислоты в крови, наличие крови в моче, ненормальные дыхательные шумы, понижение уровня углекислого газа, повышение уровня иммунодепрессантов, повышение международного нормализованного отношения, мочевые цилиндры, положительный анализ на лейкоциты в моче и повышение pH мочи.</w:t>
            </w:r>
          </w:p>
        </w:tc>
        <w:tc>
          <w:tcPr>
            <w:tcW w:w="1477" w:type="dxa"/>
          </w:tcPr>
          <w:p w14:paraId="796EDA5A" w14:textId="77777777" w:rsidR="00B26D35" w:rsidRPr="00C83A16" w:rsidRDefault="00B26D35" w:rsidP="00122958">
            <w:pPr>
              <w:spacing w:line="216" w:lineRule="auto"/>
              <w:ind w:left="49" w:right="120"/>
              <w:rPr>
                <w:rFonts w:ascii="Times New Roman" w:hAnsi="Times New Roman"/>
              </w:rPr>
            </w:pPr>
          </w:p>
        </w:tc>
      </w:tr>
    </w:tbl>
    <w:p w14:paraId="38D52C6C" w14:textId="77777777" w:rsidR="00B26D35" w:rsidRPr="00EE5F5F" w:rsidRDefault="00B26D35" w:rsidP="00B26D35">
      <w:pPr>
        <w:spacing w:after="0" w:line="240" w:lineRule="auto"/>
        <w:jc w:val="both"/>
        <w:rPr>
          <w:rFonts w:ascii="Times New Roman" w:hAnsi="Times New Roman"/>
          <w:i/>
          <w:sz w:val="24"/>
          <w:szCs w:val="24"/>
        </w:rPr>
      </w:pPr>
    </w:p>
    <w:p w14:paraId="6515F15E" w14:textId="77777777" w:rsidR="004528E1" w:rsidRDefault="00E50475" w:rsidP="0078568D">
      <w:pPr>
        <w:spacing w:after="0" w:line="240" w:lineRule="auto"/>
        <w:jc w:val="both"/>
        <w:rPr>
          <w:rFonts w:ascii="Times New Roman" w:hAnsi="Times New Roman"/>
          <w:sz w:val="24"/>
          <w:szCs w:val="24"/>
        </w:rPr>
      </w:pPr>
      <w:r w:rsidRPr="00E50475">
        <w:rPr>
          <w:rFonts w:ascii="Times New Roman" w:hAnsi="Times New Roman"/>
          <w:sz w:val="24"/>
          <w:szCs w:val="24"/>
        </w:rPr>
        <w:t xml:space="preserve">Каспофунгин оценивался в дозе 150 мг в </w:t>
      </w:r>
      <w:r>
        <w:rPr>
          <w:rFonts w:ascii="Times New Roman" w:hAnsi="Times New Roman"/>
          <w:sz w:val="24"/>
          <w:szCs w:val="24"/>
        </w:rPr>
        <w:t>сутки</w:t>
      </w:r>
      <w:r w:rsidRPr="00E50475">
        <w:rPr>
          <w:rFonts w:ascii="Times New Roman" w:hAnsi="Times New Roman"/>
          <w:sz w:val="24"/>
          <w:szCs w:val="24"/>
        </w:rPr>
        <w:t xml:space="preserve"> (до 51 дня) у 100 взрослых </w:t>
      </w:r>
      <w:r w:rsidR="00375AC1">
        <w:rPr>
          <w:rFonts w:ascii="Times New Roman" w:hAnsi="Times New Roman"/>
          <w:sz w:val="24"/>
          <w:szCs w:val="24"/>
        </w:rPr>
        <w:t>субъектов</w:t>
      </w:r>
      <w:r w:rsidRPr="00E50475">
        <w:rPr>
          <w:rFonts w:ascii="Times New Roman" w:hAnsi="Times New Roman"/>
          <w:sz w:val="24"/>
          <w:szCs w:val="24"/>
        </w:rPr>
        <w:t xml:space="preserve">. В исследовании сравнивали каспофунгин в дозе 50 мг в день (после нагрузочной дозы 70 мг в </w:t>
      </w:r>
      <w:r w:rsidR="00375AC1">
        <w:rPr>
          <w:rFonts w:ascii="Times New Roman" w:hAnsi="Times New Roman"/>
          <w:sz w:val="24"/>
          <w:szCs w:val="24"/>
        </w:rPr>
        <w:t>1-ый день</w:t>
      </w:r>
      <w:r w:rsidRPr="00E50475">
        <w:rPr>
          <w:rFonts w:ascii="Times New Roman" w:hAnsi="Times New Roman"/>
          <w:sz w:val="24"/>
          <w:szCs w:val="24"/>
        </w:rPr>
        <w:t xml:space="preserve">) и 150 мг в </w:t>
      </w:r>
      <w:r w:rsidR="00375AC1">
        <w:rPr>
          <w:rFonts w:ascii="Times New Roman" w:hAnsi="Times New Roman"/>
          <w:sz w:val="24"/>
          <w:szCs w:val="24"/>
        </w:rPr>
        <w:t>сутки</w:t>
      </w:r>
      <w:r w:rsidRPr="00E50475">
        <w:rPr>
          <w:rFonts w:ascii="Times New Roman" w:hAnsi="Times New Roman"/>
          <w:sz w:val="24"/>
          <w:szCs w:val="24"/>
        </w:rPr>
        <w:t xml:space="preserve"> при лечении инвазивного кандидоза. </w:t>
      </w:r>
      <w:r w:rsidR="00375AC1">
        <w:rPr>
          <w:rFonts w:ascii="Times New Roman" w:hAnsi="Times New Roman"/>
          <w:sz w:val="24"/>
          <w:szCs w:val="24"/>
        </w:rPr>
        <w:t xml:space="preserve">У данной </w:t>
      </w:r>
      <w:r w:rsidR="00765F7F">
        <w:rPr>
          <w:rFonts w:ascii="Times New Roman" w:hAnsi="Times New Roman"/>
          <w:sz w:val="24"/>
          <w:szCs w:val="24"/>
        </w:rPr>
        <w:t xml:space="preserve">группы </w:t>
      </w:r>
      <w:r w:rsidR="00765F7F" w:rsidRPr="00E50475">
        <w:rPr>
          <w:rFonts w:ascii="Times New Roman" w:hAnsi="Times New Roman"/>
          <w:sz w:val="24"/>
          <w:szCs w:val="24"/>
        </w:rPr>
        <w:t>пациентов</w:t>
      </w:r>
      <w:r w:rsidRPr="00E50475">
        <w:rPr>
          <w:rFonts w:ascii="Times New Roman" w:hAnsi="Times New Roman"/>
          <w:sz w:val="24"/>
          <w:szCs w:val="24"/>
        </w:rPr>
        <w:t xml:space="preserve"> безопасность каспофунгина </w:t>
      </w:r>
      <w:r w:rsidR="00765F7F">
        <w:rPr>
          <w:rFonts w:ascii="Times New Roman" w:hAnsi="Times New Roman"/>
          <w:sz w:val="24"/>
          <w:szCs w:val="24"/>
        </w:rPr>
        <w:t>при введении высокой дозы</w:t>
      </w:r>
      <w:r w:rsidRPr="00E50475">
        <w:rPr>
          <w:rFonts w:ascii="Times New Roman" w:hAnsi="Times New Roman"/>
          <w:sz w:val="24"/>
          <w:szCs w:val="24"/>
        </w:rPr>
        <w:t xml:space="preserve"> оказалась </w:t>
      </w:r>
      <w:r w:rsidR="00375AC1">
        <w:rPr>
          <w:rFonts w:ascii="Times New Roman" w:hAnsi="Times New Roman"/>
          <w:sz w:val="24"/>
          <w:szCs w:val="24"/>
        </w:rPr>
        <w:t>сопоставимой и аналогичной пациентам</w:t>
      </w:r>
      <w:r w:rsidRPr="00E50475">
        <w:rPr>
          <w:rFonts w:ascii="Times New Roman" w:hAnsi="Times New Roman"/>
          <w:sz w:val="24"/>
          <w:szCs w:val="24"/>
        </w:rPr>
        <w:t xml:space="preserve">, получавших суточную дозу каспофунгина 50 мг. </w:t>
      </w:r>
      <w:r w:rsidR="00375AC1" w:rsidRPr="00375AC1">
        <w:rPr>
          <w:rFonts w:ascii="Times New Roman" w:hAnsi="Times New Roman"/>
          <w:sz w:val="24"/>
          <w:szCs w:val="24"/>
        </w:rPr>
        <w:t>Доля пациентов с серьезными нежелательными реакциями, связанными с препаратом, или нежелательными реакциями, повлекшими отмену каспофунгина, была сопоставимой в обеих группах лечения.</w:t>
      </w:r>
    </w:p>
    <w:p w14:paraId="15D97D97" w14:textId="77777777" w:rsidR="006F000A" w:rsidRPr="006F000A" w:rsidRDefault="006F000A" w:rsidP="006F000A">
      <w:pPr>
        <w:spacing w:after="0" w:line="240" w:lineRule="auto"/>
        <w:jc w:val="both"/>
        <w:rPr>
          <w:rFonts w:ascii="Times New Roman" w:hAnsi="Times New Roman"/>
          <w:i/>
          <w:iCs/>
          <w:sz w:val="24"/>
          <w:szCs w:val="24"/>
        </w:rPr>
      </w:pPr>
      <w:r w:rsidRPr="006F000A">
        <w:rPr>
          <w:rFonts w:ascii="Times New Roman" w:hAnsi="Times New Roman"/>
          <w:i/>
          <w:iCs/>
          <w:sz w:val="24"/>
          <w:szCs w:val="24"/>
        </w:rPr>
        <w:t>Дети</w:t>
      </w:r>
    </w:p>
    <w:p w14:paraId="53B3C68C" w14:textId="77777777" w:rsidR="006F000A" w:rsidRDefault="001C285D" w:rsidP="006F000A">
      <w:pPr>
        <w:spacing w:after="0" w:line="240" w:lineRule="auto"/>
        <w:jc w:val="both"/>
        <w:rPr>
          <w:rFonts w:ascii="Times New Roman" w:hAnsi="Times New Roman"/>
          <w:sz w:val="24"/>
          <w:szCs w:val="24"/>
        </w:rPr>
      </w:pPr>
      <w:r w:rsidRPr="006F000A">
        <w:rPr>
          <w:rFonts w:ascii="Times New Roman" w:hAnsi="Times New Roman"/>
          <w:sz w:val="24"/>
          <w:szCs w:val="24"/>
        </w:rPr>
        <w:t>Согласно данным,</w:t>
      </w:r>
      <w:r w:rsidR="006F000A" w:rsidRPr="006F000A">
        <w:rPr>
          <w:rFonts w:ascii="Times New Roman" w:hAnsi="Times New Roman"/>
          <w:sz w:val="24"/>
          <w:szCs w:val="24"/>
        </w:rPr>
        <w:t xml:space="preserve"> общая частота развития нежелательных реакций у детей (n=171) была меньше (26,3%; 95% ДИ -19,9, 33,6), чем зарегистрировано у взрослых, которые также лечились каспофунгином (43,1%; 95% CI -40,0, 46,2). </w:t>
      </w:r>
      <w:r w:rsidR="00E956F3">
        <w:rPr>
          <w:rFonts w:ascii="Times New Roman" w:hAnsi="Times New Roman"/>
          <w:sz w:val="24"/>
          <w:szCs w:val="24"/>
        </w:rPr>
        <w:t>Однако,</w:t>
      </w:r>
      <w:r w:rsidR="006F000A" w:rsidRPr="006F000A">
        <w:rPr>
          <w:rFonts w:ascii="Times New Roman" w:hAnsi="Times New Roman"/>
          <w:sz w:val="24"/>
          <w:szCs w:val="24"/>
        </w:rPr>
        <w:t xml:space="preserve"> профиль нежелательных реакций </w:t>
      </w:r>
      <w:r w:rsidR="00E956F3">
        <w:rPr>
          <w:rFonts w:ascii="Times New Roman" w:hAnsi="Times New Roman"/>
          <w:sz w:val="24"/>
          <w:szCs w:val="24"/>
        </w:rPr>
        <w:t>у детей несколько отличался от взрослых</w:t>
      </w:r>
      <w:r w:rsidR="006F000A" w:rsidRPr="006F000A">
        <w:rPr>
          <w:rFonts w:ascii="Times New Roman" w:hAnsi="Times New Roman"/>
          <w:sz w:val="24"/>
          <w:szCs w:val="24"/>
        </w:rPr>
        <w:t>. Самы</w:t>
      </w:r>
      <w:r w:rsidR="00E956F3">
        <w:rPr>
          <w:rFonts w:ascii="Times New Roman" w:hAnsi="Times New Roman"/>
          <w:sz w:val="24"/>
          <w:szCs w:val="24"/>
        </w:rPr>
        <w:t>е</w:t>
      </w:r>
      <w:r w:rsidR="006F000A" w:rsidRPr="006F000A">
        <w:rPr>
          <w:rFonts w:ascii="Times New Roman" w:hAnsi="Times New Roman"/>
          <w:sz w:val="24"/>
          <w:szCs w:val="24"/>
        </w:rPr>
        <w:t xml:space="preserve"> част</w:t>
      </w:r>
      <w:r w:rsidR="00E956F3">
        <w:rPr>
          <w:rFonts w:ascii="Times New Roman" w:hAnsi="Times New Roman"/>
          <w:sz w:val="24"/>
          <w:szCs w:val="24"/>
        </w:rPr>
        <w:t>о</w:t>
      </w:r>
      <w:r w:rsidR="006F000A" w:rsidRPr="006F000A">
        <w:rPr>
          <w:rFonts w:ascii="Times New Roman" w:hAnsi="Times New Roman"/>
          <w:sz w:val="24"/>
          <w:szCs w:val="24"/>
        </w:rPr>
        <w:t xml:space="preserve"> сообщаемы</w:t>
      </w:r>
      <w:r w:rsidR="00E956F3">
        <w:rPr>
          <w:rFonts w:ascii="Times New Roman" w:hAnsi="Times New Roman"/>
          <w:sz w:val="24"/>
          <w:szCs w:val="24"/>
        </w:rPr>
        <w:t>е</w:t>
      </w:r>
      <w:r w:rsidR="006F000A" w:rsidRPr="006F000A">
        <w:rPr>
          <w:rFonts w:ascii="Times New Roman" w:hAnsi="Times New Roman"/>
          <w:sz w:val="24"/>
          <w:szCs w:val="24"/>
        </w:rPr>
        <w:t xml:space="preserve"> нежелательны</w:t>
      </w:r>
      <w:r w:rsidR="00E956F3">
        <w:rPr>
          <w:rFonts w:ascii="Times New Roman" w:hAnsi="Times New Roman"/>
          <w:sz w:val="24"/>
          <w:szCs w:val="24"/>
        </w:rPr>
        <w:t>е</w:t>
      </w:r>
      <w:r w:rsidR="006F000A" w:rsidRPr="006F000A">
        <w:rPr>
          <w:rFonts w:ascii="Times New Roman" w:hAnsi="Times New Roman"/>
          <w:sz w:val="24"/>
          <w:szCs w:val="24"/>
        </w:rPr>
        <w:t xml:space="preserve"> реакци</w:t>
      </w:r>
      <w:r w:rsidR="00E956F3">
        <w:rPr>
          <w:rFonts w:ascii="Times New Roman" w:hAnsi="Times New Roman"/>
          <w:sz w:val="24"/>
          <w:szCs w:val="24"/>
        </w:rPr>
        <w:t xml:space="preserve">и </w:t>
      </w:r>
      <w:r w:rsidR="00E956F3" w:rsidRPr="006F000A">
        <w:rPr>
          <w:rFonts w:ascii="Times New Roman" w:hAnsi="Times New Roman"/>
          <w:sz w:val="24"/>
          <w:szCs w:val="24"/>
        </w:rPr>
        <w:t>у детей</w:t>
      </w:r>
      <w:r w:rsidR="006F000A" w:rsidRPr="006F000A">
        <w:rPr>
          <w:rFonts w:ascii="Times New Roman" w:hAnsi="Times New Roman"/>
          <w:sz w:val="24"/>
          <w:szCs w:val="24"/>
        </w:rPr>
        <w:t>, связанны</w:t>
      </w:r>
      <w:r w:rsidR="00E956F3">
        <w:rPr>
          <w:rFonts w:ascii="Times New Roman" w:hAnsi="Times New Roman"/>
          <w:sz w:val="24"/>
          <w:szCs w:val="24"/>
        </w:rPr>
        <w:t>е</w:t>
      </w:r>
      <w:r w:rsidR="006F000A" w:rsidRPr="006F000A">
        <w:rPr>
          <w:rFonts w:ascii="Times New Roman" w:hAnsi="Times New Roman"/>
          <w:sz w:val="24"/>
          <w:szCs w:val="24"/>
        </w:rPr>
        <w:t xml:space="preserve"> с </w:t>
      </w:r>
      <w:r w:rsidR="00E956F3">
        <w:rPr>
          <w:rFonts w:ascii="Times New Roman" w:hAnsi="Times New Roman"/>
          <w:sz w:val="24"/>
          <w:szCs w:val="24"/>
        </w:rPr>
        <w:t xml:space="preserve">приемом </w:t>
      </w:r>
      <w:r w:rsidR="006F000A" w:rsidRPr="006F000A">
        <w:rPr>
          <w:rFonts w:ascii="Times New Roman" w:hAnsi="Times New Roman"/>
          <w:sz w:val="24"/>
          <w:szCs w:val="24"/>
        </w:rPr>
        <w:t>каспофунгин</w:t>
      </w:r>
      <w:r w:rsidR="00E956F3">
        <w:rPr>
          <w:rFonts w:ascii="Times New Roman" w:hAnsi="Times New Roman"/>
          <w:sz w:val="24"/>
          <w:szCs w:val="24"/>
        </w:rPr>
        <w:t>а</w:t>
      </w:r>
      <w:r w:rsidR="006F000A" w:rsidRPr="006F000A">
        <w:rPr>
          <w:rFonts w:ascii="Times New Roman" w:hAnsi="Times New Roman"/>
          <w:sz w:val="24"/>
          <w:szCs w:val="24"/>
        </w:rPr>
        <w:t xml:space="preserve">, </w:t>
      </w:r>
      <w:r w:rsidR="00E956F3">
        <w:rPr>
          <w:rFonts w:ascii="Times New Roman" w:hAnsi="Times New Roman"/>
          <w:sz w:val="24"/>
          <w:szCs w:val="24"/>
        </w:rPr>
        <w:t>сопровождались</w:t>
      </w:r>
      <w:r w:rsidR="006F000A" w:rsidRPr="006F000A">
        <w:rPr>
          <w:rFonts w:ascii="Times New Roman" w:hAnsi="Times New Roman"/>
          <w:sz w:val="24"/>
          <w:szCs w:val="24"/>
        </w:rPr>
        <w:t xml:space="preserve"> лихорадк</w:t>
      </w:r>
      <w:r w:rsidR="00E956F3">
        <w:rPr>
          <w:rFonts w:ascii="Times New Roman" w:hAnsi="Times New Roman"/>
          <w:sz w:val="24"/>
          <w:szCs w:val="24"/>
        </w:rPr>
        <w:t>ой</w:t>
      </w:r>
      <w:r w:rsidR="006F000A" w:rsidRPr="006F000A">
        <w:rPr>
          <w:rFonts w:ascii="Times New Roman" w:hAnsi="Times New Roman"/>
          <w:sz w:val="24"/>
          <w:szCs w:val="24"/>
        </w:rPr>
        <w:t xml:space="preserve"> (11,7%), сыпь</w:t>
      </w:r>
      <w:r w:rsidR="00E956F3">
        <w:rPr>
          <w:rFonts w:ascii="Times New Roman" w:hAnsi="Times New Roman"/>
          <w:sz w:val="24"/>
          <w:szCs w:val="24"/>
        </w:rPr>
        <w:t>ю</w:t>
      </w:r>
      <w:r w:rsidR="006F000A" w:rsidRPr="006F000A">
        <w:rPr>
          <w:rFonts w:ascii="Times New Roman" w:hAnsi="Times New Roman"/>
          <w:sz w:val="24"/>
          <w:szCs w:val="24"/>
        </w:rPr>
        <w:t xml:space="preserve"> (4,7%) и головн</w:t>
      </w:r>
      <w:r w:rsidR="00E956F3">
        <w:rPr>
          <w:rFonts w:ascii="Times New Roman" w:hAnsi="Times New Roman"/>
          <w:sz w:val="24"/>
          <w:szCs w:val="24"/>
        </w:rPr>
        <w:t>ой</w:t>
      </w:r>
      <w:r w:rsidR="006F000A" w:rsidRPr="006F000A">
        <w:rPr>
          <w:rFonts w:ascii="Times New Roman" w:hAnsi="Times New Roman"/>
          <w:sz w:val="24"/>
          <w:szCs w:val="24"/>
        </w:rPr>
        <w:t xml:space="preserve"> боль</w:t>
      </w:r>
      <w:r w:rsidR="00E956F3">
        <w:rPr>
          <w:rFonts w:ascii="Times New Roman" w:hAnsi="Times New Roman"/>
          <w:sz w:val="24"/>
          <w:szCs w:val="24"/>
        </w:rPr>
        <w:t>ю</w:t>
      </w:r>
      <w:r w:rsidR="006F000A" w:rsidRPr="006F000A">
        <w:rPr>
          <w:rFonts w:ascii="Times New Roman" w:hAnsi="Times New Roman"/>
          <w:sz w:val="24"/>
          <w:szCs w:val="24"/>
        </w:rPr>
        <w:t xml:space="preserve"> (2,9%).</w:t>
      </w:r>
    </w:p>
    <w:p w14:paraId="32D4C7A5" w14:textId="77777777" w:rsidR="00617197" w:rsidRPr="00617197" w:rsidRDefault="00617197" w:rsidP="00617197">
      <w:pPr>
        <w:spacing w:line="216" w:lineRule="auto"/>
        <w:ind w:right="-20"/>
        <w:jc w:val="both"/>
        <w:rPr>
          <w:rFonts w:ascii="Times New Roman" w:hAnsi="Times New Roman"/>
          <w:i/>
          <w:sz w:val="24"/>
          <w:szCs w:val="24"/>
        </w:rPr>
      </w:pPr>
      <w:r w:rsidRPr="00617197">
        <w:rPr>
          <w:rFonts w:ascii="Times New Roman" w:hAnsi="Times New Roman"/>
          <w:i/>
          <w:position w:val="-1"/>
          <w:sz w:val="24"/>
          <w:szCs w:val="24"/>
        </w:rPr>
        <w:t>Нежелательные реакции у детей</w:t>
      </w:r>
    </w:p>
    <w:tbl>
      <w:tblPr>
        <w:tblW w:w="9214" w:type="dxa"/>
        <w:tblInd w:w="5" w:type="dxa"/>
        <w:tblLayout w:type="fixed"/>
        <w:tblCellMar>
          <w:left w:w="0" w:type="dxa"/>
          <w:right w:w="0" w:type="dxa"/>
        </w:tblCellMar>
        <w:tblLook w:val="01E0" w:firstRow="1" w:lastRow="1" w:firstColumn="1" w:lastColumn="1" w:noHBand="0" w:noVBand="0"/>
      </w:tblPr>
      <w:tblGrid>
        <w:gridCol w:w="3119"/>
        <w:gridCol w:w="1417"/>
        <w:gridCol w:w="4678"/>
      </w:tblGrid>
      <w:tr w:rsidR="00617197" w:rsidRPr="00617197" w14:paraId="67B4CE30" w14:textId="77777777" w:rsidTr="001B3B67">
        <w:trPr>
          <w:trHeight w:val="20"/>
        </w:trPr>
        <w:tc>
          <w:tcPr>
            <w:tcW w:w="3119" w:type="dxa"/>
            <w:tcBorders>
              <w:top w:val="single" w:sz="4" w:space="0" w:color="000000"/>
              <w:left w:val="single" w:sz="4" w:space="0" w:color="000000"/>
              <w:bottom w:val="single" w:sz="4" w:space="0" w:color="000000"/>
              <w:right w:val="single" w:sz="4" w:space="0" w:color="000000"/>
            </w:tcBorders>
          </w:tcPr>
          <w:p w14:paraId="27FBD62A"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Системные и органные нарушения</w:t>
            </w:r>
          </w:p>
        </w:tc>
        <w:tc>
          <w:tcPr>
            <w:tcW w:w="1417" w:type="dxa"/>
            <w:tcBorders>
              <w:top w:val="single" w:sz="4" w:space="0" w:color="000000"/>
              <w:left w:val="single" w:sz="4" w:space="0" w:color="000000"/>
              <w:bottom w:val="single" w:sz="4" w:space="0" w:color="000000"/>
              <w:right w:val="single" w:sz="4" w:space="0" w:color="000000"/>
            </w:tcBorders>
          </w:tcPr>
          <w:p w14:paraId="0353DF34"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Очень часто (≥1/10)</w:t>
            </w:r>
          </w:p>
        </w:tc>
        <w:tc>
          <w:tcPr>
            <w:tcW w:w="4678" w:type="dxa"/>
            <w:tcBorders>
              <w:top w:val="single" w:sz="4" w:space="0" w:color="000000"/>
              <w:left w:val="single" w:sz="4" w:space="0" w:color="000000"/>
              <w:bottom w:val="single" w:sz="4" w:space="0" w:color="000000"/>
              <w:right w:val="single" w:sz="4" w:space="0" w:color="000000"/>
            </w:tcBorders>
          </w:tcPr>
          <w:p w14:paraId="43A68E7B"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Часто (от ≥1/100 до &lt;1/10)</w:t>
            </w:r>
          </w:p>
        </w:tc>
      </w:tr>
      <w:tr w:rsidR="00617197" w:rsidRPr="00617197" w14:paraId="03D2ABE9" w14:textId="77777777" w:rsidTr="001B3B67">
        <w:trPr>
          <w:trHeight w:val="20"/>
        </w:trPr>
        <w:tc>
          <w:tcPr>
            <w:tcW w:w="3119" w:type="dxa"/>
            <w:tcBorders>
              <w:top w:val="single" w:sz="4" w:space="0" w:color="000000"/>
              <w:left w:val="single" w:sz="4" w:space="0" w:color="000000"/>
              <w:bottom w:val="single" w:sz="4" w:space="0" w:color="000000"/>
              <w:right w:val="single" w:sz="4" w:space="0" w:color="000000"/>
            </w:tcBorders>
          </w:tcPr>
          <w:p w14:paraId="1E56FF8D"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Нарушения со стороны крови и лимфатической системы</w:t>
            </w:r>
          </w:p>
        </w:tc>
        <w:tc>
          <w:tcPr>
            <w:tcW w:w="1417" w:type="dxa"/>
            <w:tcBorders>
              <w:top w:val="single" w:sz="4" w:space="0" w:color="000000"/>
              <w:left w:val="single" w:sz="4" w:space="0" w:color="000000"/>
              <w:bottom w:val="single" w:sz="4" w:space="0" w:color="000000"/>
              <w:right w:val="single" w:sz="4" w:space="0" w:color="000000"/>
            </w:tcBorders>
          </w:tcPr>
          <w:p w14:paraId="0A967E39" w14:textId="77777777" w:rsidR="00617197" w:rsidRPr="00C83A16" w:rsidRDefault="00617197" w:rsidP="00122958">
            <w:pPr>
              <w:spacing w:line="216" w:lineRule="auto"/>
              <w:ind w:left="53" w:right="86"/>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tcPr>
          <w:p w14:paraId="4A74F473"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rPr>
              <w:t>Увеличение количества эозинофилов</w:t>
            </w:r>
          </w:p>
        </w:tc>
      </w:tr>
      <w:tr w:rsidR="00617197" w:rsidRPr="00617197" w14:paraId="1DD2762B" w14:textId="77777777" w:rsidTr="001B3B67">
        <w:trPr>
          <w:trHeight w:val="20"/>
        </w:trPr>
        <w:tc>
          <w:tcPr>
            <w:tcW w:w="3119" w:type="dxa"/>
            <w:tcBorders>
              <w:top w:val="single" w:sz="4" w:space="0" w:color="000000"/>
              <w:left w:val="single" w:sz="4" w:space="0" w:color="000000"/>
              <w:bottom w:val="single" w:sz="4" w:space="0" w:color="000000"/>
              <w:right w:val="single" w:sz="4" w:space="0" w:color="000000"/>
            </w:tcBorders>
          </w:tcPr>
          <w:p w14:paraId="4419ABBD"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Нарушения со стороны нервной системы</w:t>
            </w:r>
          </w:p>
        </w:tc>
        <w:tc>
          <w:tcPr>
            <w:tcW w:w="1417" w:type="dxa"/>
            <w:tcBorders>
              <w:top w:val="single" w:sz="4" w:space="0" w:color="000000"/>
              <w:left w:val="single" w:sz="4" w:space="0" w:color="000000"/>
              <w:bottom w:val="single" w:sz="4" w:space="0" w:color="000000"/>
              <w:right w:val="single" w:sz="4" w:space="0" w:color="000000"/>
            </w:tcBorders>
          </w:tcPr>
          <w:p w14:paraId="27DE3DF0" w14:textId="77777777" w:rsidR="00617197" w:rsidRPr="00C83A16" w:rsidRDefault="00617197" w:rsidP="00122958">
            <w:pPr>
              <w:spacing w:line="216" w:lineRule="auto"/>
              <w:ind w:left="53" w:right="86"/>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tcPr>
          <w:p w14:paraId="13FAF695"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rPr>
              <w:t>головная боль</w:t>
            </w:r>
          </w:p>
        </w:tc>
      </w:tr>
      <w:tr w:rsidR="00617197" w:rsidRPr="00617197" w14:paraId="61B48BC9" w14:textId="77777777" w:rsidTr="001B3B67">
        <w:trPr>
          <w:trHeight w:val="20"/>
        </w:trPr>
        <w:tc>
          <w:tcPr>
            <w:tcW w:w="3119" w:type="dxa"/>
            <w:tcBorders>
              <w:top w:val="single" w:sz="4" w:space="0" w:color="000000"/>
              <w:left w:val="single" w:sz="4" w:space="0" w:color="000000"/>
              <w:bottom w:val="single" w:sz="4" w:space="0" w:color="000000"/>
              <w:right w:val="single" w:sz="4" w:space="0" w:color="000000"/>
            </w:tcBorders>
          </w:tcPr>
          <w:p w14:paraId="2E0C0067"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Нарушения со стороны сердца</w:t>
            </w:r>
          </w:p>
        </w:tc>
        <w:tc>
          <w:tcPr>
            <w:tcW w:w="1417" w:type="dxa"/>
            <w:tcBorders>
              <w:top w:val="single" w:sz="4" w:space="0" w:color="000000"/>
              <w:left w:val="single" w:sz="4" w:space="0" w:color="000000"/>
              <w:bottom w:val="single" w:sz="4" w:space="0" w:color="000000"/>
              <w:right w:val="single" w:sz="4" w:space="0" w:color="000000"/>
            </w:tcBorders>
          </w:tcPr>
          <w:p w14:paraId="1D782C69" w14:textId="77777777" w:rsidR="00617197" w:rsidRPr="00C83A16" w:rsidRDefault="00617197" w:rsidP="00122958">
            <w:pPr>
              <w:spacing w:line="216" w:lineRule="auto"/>
              <w:ind w:left="53" w:right="86"/>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tcPr>
          <w:p w14:paraId="264C8C71"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rPr>
              <w:t>тахикардия</w:t>
            </w:r>
          </w:p>
        </w:tc>
      </w:tr>
      <w:tr w:rsidR="00617197" w:rsidRPr="00617197" w14:paraId="552CD439" w14:textId="77777777" w:rsidTr="001B3B67">
        <w:trPr>
          <w:trHeight w:val="20"/>
        </w:trPr>
        <w:tc>
          <w:tcPr>
            <w:tcW w:w="3119" w:type="dxa"/>
            <w:tcBorders>
              <w:top w:val="single" w:sz="4" w:space="0" w:color="000000"/>
              <w:left w:val="single" w:sz="4" w:space="0" w:color="000000"/>
              <w:bottom w:val="single" w:sz="4" w:space="0" w:color="000000"/>
              <w:right w:val="single" w:sz="4" w:space="0" w:color="000000"/>
            </w:tcBorders>
          </w:tcPr>
          <w:p w14:paraId="66639BD2"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Нарушения со стороны сосудов</w:t>
            </w:r>
          </w:p>
        </w:tc>
        <w:tc>
          <w:tcPr>
            <w:tcW w:w="1417" w:type="dxa"/>
            <w:tcBorders>
              <w:top w:val="single" w:sz="4" w:space="0" w:color="000000"/>
              <w:left w:val="single" w:sz="4" w:space="0" w:color="000000"/>
              <w:bottom w:val="single" w:sz="4" w:space="0" w:color="000000"/>
              <w:right w:val="single" w:sz="4" w:space="0" w:color="000000"/>
            </w:tcBorders>
          </w:tcPr>
          <w:p w14:paraId="165DC685" w14:textId="77777777" w:rsidR="00617197" w:rsidRPr="00C83A16" w:rsidRDefault="00617197" w:rsidP="00122958">
            <w:pPr>
              <w:spacing w:line="216" w:lineRule="auto"/>
              <w:ind w:left="53" w:right="86"/>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tcPr>
          <w:p w14:paraId="2695A021"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rPr>
              <w:t>гиперемия, гипотония</w:t>
            </w:r>
          </w:p>
        </w:tc>
      </w:tr>
      <w:tr w:rsidR="00617197" w:rsidRPr="00617197" w14:paraId="597A218B" w14:textId="77777777" w:rsidTr="001B3B67">
        <w:trPr>
          <w:trHeight w:val="20"/>
        </w:trPr>
        <w:tc>
          <w:tcPr>
            <w:tcW w:w="3119" w:type="dxa"/>
            <w:tcBorders>
              <w:top w:val="single" w:sz="4" w:space="0" w:color="000000"/>
              <w:left w:val="single" w:sz="4" w:space="0" w:color="000000"/>
              <w:bottom w:val="single" w:sz="4" w:space="0" w:color="000000"/>
              <w:right w:val="single" w:sz="4" w:space="0" w:color="000000"/>
            </w:tcBorders>
          </w:tcPr>
          <w:p w14:paraId="33D67E6D"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Нарушения со стороны печени и желчевыводящих путей</w:t>
            </w:r>
          </w:p>
        </w:tc>
        <w:tc>
          <w:tcPr>
            <w:tcW w:w="1417" w:type="dxa"/>
            <w:tcBorders>
              <w:top w:val="single" w:sz="4" w:space="0" w:color="000000"/>
              <w:left w:val="single" w:sz="4" w:space="0" w:color="000000"/>
              <w:bottom w:val="single" w:sz="4" w:space="0" w:color="000000"/>
              <w:right w:val="single" w:sz="4" w:space="0" w:color="000000"/>
            </w:tcBorders>
          </w:tcPr>
          <w:p w14:paraId="46BCEEC5" w14:textId="77777777" w:rsidR="00617197" w:rsidRPr="00C83A16" w:rsidRDefault="00617197" w:rsidP="00122958">
            <w:pPr>
              <w:spacing w:line="216" w:lineRule="auto"/>
              <w:ind w:left="53" w:right="86"/>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tcPr>
          <w:p w14:paraId="5920C6DE"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rPr>
              <w:t>Повышение активности печеночных ферментов (AЛT, AСT)</w:t>
            </w:r>
          </w:p>
        </w:tc>
      </w:tr>
      <w:tr w:rsidR="00617197" w:rsidRPr="00617197" w14:paraId="14AB3284" w14:textId="77777777" w:rsidTr="001B3B67">
        <w:trPr>
          <w:trHeight w:val="20"/>
        </w:trPr>
        <w:tc>
          <w:tcPr>
            <w:tcW w:w="3119" w:type="dxa"/>
            <w:tcBorders>
              <w:top w:val="single" w:sz="4" w:space="0" w:color="000000"/>
              <w:left w:val="single" w:sz="4" w:space="0" w:color="000000"/>
              <w:bottom w:val="single" w:sz="4" w:space="0" w:color="000000"/>
              <w:right w:val="single" w:sz="4" w:space="0" w:color="000000"/>
            </w:tcBorders>
          </w:tcPr>
          <w:p w14:paraId="3D65A4BE"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Нарушения со стороны кожи и подкожной клетчатки</w:t>
            </w:r>
          </w:p>
        </w:tc>
        <w:tc>
          <w:tcPr>
            <w:tcW w:w="1417" w:type="dxa"/>
            <w:tcBorders>
              <w:top w:val="single" w:sz="4" w:space="0" w:color="000000"/>
              <w:left w:val="single" w:sz="4" w:space="0" w:color="000000"/>
              <w:bottom w:val="single" w:sz="4" w:space="0" w:color="000000"/>
              <w:right w:val="single" w:sz="4" w:space="0" w:color="000000"/>
            </w:tcBorders>
          </w:tcPr>
          <w:p w14:paraId="7F6DDF4B" w14:textId="77777777" w:rsidR="00617197" w:rsidRPr="00C83A16" w:rsidRDefault="00617197" w:rsidP="00122958">
            <w:pPr>
              <w:spacing w:line="216" w:lineRule="auto"/>
              <w:ind w:left="53" w:right="86"/>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tcPr>
          <w:p w14:paraId="351C2B05"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rPr>
              <w:t>сыпь, зуд</w:t>
            </w:r>
          </w:p>
        </w:tc>
      </w:tr>
      <w:tr w:rsidR="00617197" w:rsidRPr="00617197" w14:paraId="6D642B98" w14:textId="77777777" w:rsidTr="001B3B67">
        <w:trPr>
          <w:trHeight w:val="20"/>
        </w:trPr>
        <w:tc>
          <w:tcPr>
            <w:tcW w:w="3119" w:type="dxa"/>
            <w:tcBorders>
              <w:top w:val="single" w:sz="4" w:space="0" w:color="000000"/>
              <w:left w:val="single" w:sz="4" w:space="0" w:color="000000"/>
              <w:bottom w:val="single" w:sz="4" w:space="0" w:color="000000"/>
              <w:right w:val="single" w:sz="4" w:space="0" w:color="000000"/>
            </w:tcBorders>
          </w:tcPr>
          <w:p w14:paraId="06BDA150"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Осложнения общего характера и реакции в месте введения</w:t>
            </w:r>
          </w:p>
        </w:tc>
        <w:tc>
          <w:tcPr>
            <w:tcW w:w="1417" w:type="dxa"/>
            <w:tcBorders>
              <w:top w:val="single" w:sz="4" w:space="0" w:color="000000"/>
              <w:left w:val="single" w:sz="4" w:space="0" w:color="000000"/>
              <w:bottom w:val="single" w:sz="4" w:space="0" w:color="000000"/>
              <w:right w:val="single" w:sz="4" w:space="0" w:color="000000"/>
            </w:tcBorders>
          </w:tcPr>
          <w:p w14:paraId="33E225BF"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rPr>
              <w:t>лихорадка</w:t>
            </w:r>
          </w:p>
        </w:tc>
        <w:tc>
          <w:tcPr>
            <w:tcW w:w="4678" w:type="dxa"/>
            <w:tcBorders>
              <w:top w:val="single" w:sz="4" w:space="0" w:color="000000"/>
              <w:left w:val="single" w:sz="4" w:space="0" w:color="000000"/>
              <w:bottom w:val="single" w:sz="4" w:space="0" w:color="000000"/>
              <w:right w:val="single" w:sz="4" w:space="0" w:color="000000"/>
            </w:tcBorders>
          </w:tcPr>
          <w:p w14:paraId="05CEE642"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rPr>
              <w:t>озноб, боль в месте введения катетера</w:t>
            </w:r>
          </w:p>
        </w:tc>
      </w:tr>
      <w:tr w:rsidR="00617197" w:rsidRPr="00617197" w14:paraId="222D8AA9" w14:textId="77777777" w:rsidTr="001B3B67">
        <w:trPr>
          <w:trHeight w:val="20"/>
        </w:trPr>
        <w:tc>
          <w:tcPr>
            <w:tcW w:w="3119" w:type="dxa"/>
            <w:tcBorders>
              <w:top w:val="single" w:sz="4" w:space="0" w:color="000000"/>
              <w:left w:val="single" w:sz="4" w:space="0" w:color="000000"/>
              <w:bottom w:val="single" w:sz="4" w:space="0" w:color="000000"/>
              <w:right w:val="single" w:sz="4" w:space="0" w:color="000000"/>
            </w:tcBorders>
          </w:tcPr>
          <w:p w14:paraId="36E95A35"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b/>
                <w:i/>
              </w:rPr>
              <w:t>Лабораторные исследования</w:t>
            </w:r>
          </w:p>
        </w:tc>
        <w:tc>
          <w:tcPr>
            <w:tcW w:w="1417" w:type="dxa"/>
            <w:tcBorders>
              <w:top w:val="single" w:sz="4" w:space="0" w:color="000000"/>
              <w:left w:val="single" w:sz="4" w:space="0" w:color="000000"/>
              <w:bottom w:val="single" w:sz="4" w:space="0" w:color="000000"/>
              <w:right w:val="single" w:sz="4" w:space="0" w:color="000000"/>
            </w:tcBorders>
          </w:tcPr>
          <w:p w14:paraId="313683FD" w14:textId="77777777" w:rsidR="00617197" w:rsidRPr="00C83A16" w:rsidRDefault="00617197" w:rsidP="00122958">
            <w:pPr>
              <w:spacing w:line="216" w:lineRule="auto"/>
              <w:ind w:left="53" w:right="86"/>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tcPr>
          <w:p w14:paraId="1372477F" w14:textId="77777777" w:rsidR="00617197" w:rsidRPr="00C83A16" w:rsidRDefault="00617197" w:rsidP="00122958">
            <w:pPr>
              <w:spacing w:line="216" w:lineRule="auto"/>
              <w:ind w:left="53" w:right="86"/>
              <w:rPr>
                <w:rFonts w:ascii="Times New Roman" w:hAnsi="Times New Roman"/>
              </w:rPr>
            </w:pPr>
            <w:r w:rsidRPr="00C83A16">
              <w:rPr>
                <w:rFonts w:ascii="Times New Roman" w:hAnsi="Times New Roman"/>
              </w:rPr>
              <w:t>Снижение уровня калия, гипомагниемия, повышение уровня глюкозы, снижение или повышение уровня фосфора</w:t>
            </w:r>
          </w:p>
        </w:tc>
      </w:tr>
    </w:tbl>
    <w:p w14:paraId="482D3FB9" w14:textId="77777777" w:rsidR="00617197" w:rsidRPr="00EE5F5F" w:rsidRDefault="00617197" w:rsidP="006F000A">
      <w:pPr>
        <w:spacing w:after="0" w:line="240" w:lineRule="auto"/>
        <w:jc w:val="both"/>
        <w:rPr>
          <w:rFonts w:ascii="Times New Roman" w:hAnsi="Times New Roman"/>
          <w:sz w:val="24"/>
          <w:szCs w:val="24"/>
        </w:rPr>
      </w:pPr>
    </w:p>
    <w:p w14:paraId="0AF27D3E" w14:textId="77777777" w:rsidR="00B26D35" w:rsidRPr="00EE5F5F" w:rsidRDefault="00814DFC" w:rsidP="0078568D">
      <w:pPr>
        <w:spacing w:after="0" w:line="240" w:lineRule="auto"/>
        <w:jc w:val="both"/>
        <w:rPr>
          <w:rFonts w:ascii="Times New Roman" w:hAnsi="Times New Roman"/>
          <w:b/>
          <w:sz w:val="24"/>
          <w:szCs w:val="24"/>
        </w:rPr>
      </w:pPr>
      <w:r w:rsidRPr="00EE5F5F">
        <w:rPr>
          <w:rFonts w:ascii="Times New Roman" w:hAnsi="Times New Roman"/>
          <w:b/>
          <w:sz w:val="24"/>
          <w:szCs w:val="24"/>
        </w:rPr>
        <w:lastRenderedPageBreak/>
        <w:t xml:space="preserve">Сообщение о подозреваемых нежелательных реакциях </w:t>
      </w:r>
    </w:p>
    <w:p w14:paraId="58D40E18" w14:textId="77777777" w:rsidR="00C45867" w:rsidRPr="00C45867" w:rsidRDefault="00C45867" w:rsidP="00C45867">
      <w:pPr>
        <w:spacing w:after="0" w:line="240" w:lineRule="auto"/>
        <w:jc w:val="both"/>
        <w:rPr>
          <w:rFonts w:ascii="Times New Roman" w:hAnsi="Times New Roman"/>
          <w:sz w:val="24"/>
          <w:szCs w:val="24"/>
        </w:rPr>
      </w:pPr>
      <w:r w:rsidRPr="00C45867">
        <w:rPr>
          <w:rFonts w:ascii="Times New Roman" w:hAnsi="Times New Roman"/>
          <w:sz w:val="24"/>
          <w:szCs w:val="24"/>
        </w:rPr>
        <w:t xml:space="preserve">Важно сообщать о подозреваемых нежелательных реакциях после регистрации ЛП с целью обеспечения непрерывного мониторинга соотношения «польза – риск» ЛП.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 </w:t>
      </w:r>
    </w:p>
    <w:p w14:paraId="4BA42BEF" w14:textId="6014032E" w:rsidR="00C45867" w:rsidRDefault="00C45867" w:rsidP="00C45867">
      <w:pPr>
        <w:spacing w:after="0" w:line="240" w:lineRule="auto"/>
        <w:jc w:val="both"/>
        <w:rPr>
          <w:rFonts w:ascii="Times New Roman" w:hAnsi="Times New Roman"/>
          <w:sz w:val="24"/>
          <w:szCs w:val="24"/>
        </w:rPr>
      </w:pPr>
      <w:r w:rsidRPr="00C45867">
        <w:rPr>
          <w:rFonts w:ascii="Times New Roman" w:hAnsi="Times New Roman"/>
          <w:sz w:val="24"/>
          <w:szCs w:val="24"/>
        </w:rPr>
        <w:t>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p w14:paraId="11A4FD4E" w14:textId="1FE2675D" w:rsidR="00814DFC" w:rsidRPr="00EE5F5F" w:rsidRDefault="00DA3D25" w:rsidP="00C45867">
      <w:pPr>
        <w:spacing w:after="0" w:line="240" w:lineRule="auto"/>
        <w:jc w:val="both"/>
        <w:rPr>
          <w:rFonts w:ascii="Times New Roman" w:hAnsi="Times New Roman"/>
          <w:sz w:val="24"/>
          <w:szCs w:val="24"/>
        </w:rPr>
      </w:pPr>
      <w:hyperlink r:id="rId9" w:history="1">
        <w:r w:rsidR="004528E1" w:rsidRPr="00EE5F5F">
          <w:rPr>
            <w:rStyle w:val="af"/>
            <w:rFonts w:ascii="Times New Roman" w:hAnsi="Times New Roman"/>
            <w:sz w:val="24"/>
            <w:szCs w:val="24"/>
            <w:lang w:val="en-US"/>
          </w:rPr>
          <w:t>http</w:t>
        </w:r>
        <w:r w:rsidR="004528E1" w:rsidRPr="00EE5F5F">
          <w:rPr>
            <w:rStyle w:val="af"/>
            <w:rFonts w:ascii="Times New Roman" w:hAnsi="Times New Roman"/>
            <w:sz w:val="24"/>
            <w:szCs w:val="24"/>
          </w:rPr>
          <w:t>://</w:t>
        </w:r>
        <w:r w:rsidR="004528E1" w:rsidRPr="00EE5F5F">
          <w:rPr>
            <w:rStyle w:val="af"/>
            <w:rFonts w:ascii="Times New Roman" w:hAnsi="Times New Roman"/>
            <w:sz w:val="24"/>
            <w:szCs w:val="24"/>
            <w:lang w:val="en-US"/>
          </w:rPr>
          <w:t>www</w:t>
        </w:r>
        <w:r w:rsidR="004528E1" w:rsidRPr="00EE5F5F">
          <w:rPr>
            <w:rStyle w:val="af"/>
            <w:rFonts w:ascii="Times New Roman" w:hAnsi="Times New Roman"/>
            <w:sz w:val="24"/>
            <w:szCs w:val="24"/>
          </w:rPr>
          <w:t>.</w:t>
        </w:r>
        <w:r w:rsidR="004528E1" w:rsidRPr="00EE5F5F">
          <w:rPr>
            <w:rStyle w:val="af"/>
            <w:rFonts w:ascii="Times New Roman" w:hAnsi="Times New Roman"/>
            <w:sz w:val="24"/>
            <w:szCs w:val="24"/>
            <w:lang w:val="en-US"/>
          </w:rPr>
          <w:t>ndda</w:t>
        </w:r>
        <w:r w:rsidR="004528E1" w:rsidRPr="00EE5F5F">
          <w:rPr>
            <w:rStyle w:val="af"/>
            <w:rFonts w:ascii="Times New Roman" w:hAnsi="Times New Roman"/>
            <w:sz w:val="24"/>
            <w:szCs w:val="24"/>
          </w:rPr>
          <w:t>.</w:t>
        </w:r>
        <w:r w:rsidR="004528E1" w:rsidRPr="00EE5F5F">
          <w:rPr>
            <w:rStyle w:val="af"/>
            <w:rFonts w:ascii="Times New Roman" w:hAnsi="Times New Roman"/>
            <w:sz w:val="24"/>
            <w:szCs w:val="24"/>
            <w:lang w:val="en-US"/>
          </w:rPr>
          <w:t>kz</w:t>
        </w:r>
      </w:hyperlink>
    </w:p>
    <w:p w14:paraId="019645EC" w14:textId="77777777" w:rsidR="009D67EC" w:rsidRPr="00EE5F5F" w:rsidRDefault="009D67EC" w:rsidP="0078568D">
      <w:pPr>
        <w:pStyle w:val="ac"/>
        <w:jc w:val="both"/>
        <w:rPr>
          <w:rFonts w:ascii="Times New Roman" w:eastAsia="Times New Roman" w:hAnsi="Times New Roman"/>
          <w:sz w:val="24"/>
          <w:szCs w:val="24"/>
          <w:lang w:eastAsia="ru-RU"/>
        </w:rPr>
      </w:pPr>
    </w:p>
    <w:p w14:paraId="7D052521" w14:textId="77777777" w:rsidR="00123DB5" w:rsidRPr="00EE5F5F" w:rsidRDefault="00123DB5" w:rsidP="0078568D">
      <w:pPr>
        <w:spacing w:after="0" w:line="240" w:lineRule="auto"/>
        <w:jc w:val="both"/>
        <w:rPr>
          <w:rFonts w:ascii="Times New Roman" w:hAnsi="Times New Roman"/>
          <w:color w:val="000000"/>
          <w:sz w:val="24"/>
          <w:szCs w:val="24"/>
        </w:rPr>
      </w:pPr>
      <w:r w:rsidRPr="00EE5F5F">
        <w:rPr>
          <w:rFonts w:ascii="Times New Roman" w:eastAsia="Times New Roman" w:hAnsi="Times New Roman"/>
          <w:b/>
          <w:sz w:val="24"/>
          <w:szCs w:val="24"/>
          <w:lang w:eastAsia="ru-RU"/>
        </w:rPr>
        <w:t>4.9 Передозировка</w:t>
      </w:r>
    </w:p>
    <w:p w14:paraId="496E5E3F" w14:textId="77777777" w:rsidR="00BC67EE" w:rsidRDefault="00BC67EE" w:rsidP="00BC67EE">
      <w:pPr>
        <w:spacing w:after="0" w:line="240" w:lineRule="auto"/>
        <w:ind w:right="-23"/>
        <w:jc w:val="both"/>
        <w:rPr>
          <w:rFonts w:ascii="Times New Roman" w:hAnsi="Times New Roman"/>
          <w:sz w:val="24"/>
          <w:szCs w:val="24"/>
        </w:rPr>
      </w:pPr>
      <w:r w:rsidRPr="00BC67EE">
        <w:rPr>
          <w:rFonts w:ascii="Times New Roman" w:hAnsi="Times New Roman"/>
          <w:sz w:val="24"/>
          <w:szCs w:val="24"/>
        </w:rPr>
        <w:t xml:space="preserve">Сообщалось о непреднамеренном введении до 400 мг каспофунгина в один день. Эти случаи не приводили к клинически значимым нежелательным реакциям. </w:t>
      </w:r>
    </w:p>
    <w:p w14:paraId="2A2274A0" w14:textId="77777777" w:rsidR="00BC67EE" w:rsidRPr="00BC67EE" w:rsidRDefault="00BC67EE" w:rsidP="00BC67EE">
      <w:pPr>
        <w:spacing w:after="0" w:line="240" w:lineRule="auto"/>
        <w:ind w:right="-23"/>
        <w:jc w:val="both"/>
        <w:rPr>
          <w:rFonts w:ascii="Times New Roman" w:hAnsi="Times New Roman"/>
          <w:sz w:val="24"/>
          <w:szCs w:val="24"/>
        </w:rPr>
      </w:pPr>
      <w:r w:rsidRPr="00BC67EE">
        <w:rPr>
          <w:rFonts w:ascii="Times New Roman" w:hAnsi="Times New Roman"/>
          <w:i/>
          <w:sz w:val="24"/>
          <w:szCs w:val="24"/>
        </w:rPr>
        <w:t>Лечение:</w:t>
      </w:r>
      <w:r w:rsidRPr="00BC67EE">
        <w:rPr>
          <w:rFonts w:ascii="Times New Roman" w:hAnsi="Times New Roman"/>
          <w:sz w:val="24"/>
          <w:szCs w:val="24"/>
        </w:rPr>
        <w:t xml:space="preserve"> каспофунгин не поддается диализу. Специфического антидота нет. Лечение при передозировке симптоматическое.</w:t>
      </w:r>
    </w:p>
    <w:p w14:paraId="06E0DA85" w14:textId="77777777" w:rsidR="005E0561" w:rsidRDefault="005E0561" w:rsidP="0078568D">
      <w:pPr>
        <w:autoSpaceDE w:val="0"/>
        <w:autoSpaceDN w:val="0"/>
        <w:adjustRightInd w:val="0"/>
        <w:spacing w:after="0" w:line="240" w:lineRule="auto"/>
        <w:rPr>
          <w:rFonts w:ascii="Times New Roman" w:hAnsi="Times New Roman"/>
          <w:b/>
          <w:sz w:val="24"/>
          <w:szCs w:val="24"/>
          <w:lang w:eastAsia="ru-RU"/>
        </w:rPr>
      </w:pPr>
    </w:p>
    <w:p w14:paraId="7B2BE339" w14:textId="77777777" w:rsidR="00C153F2" w:rsidRPr="00EE5F5F"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EE5F5F">
        <w:rPr>
          <w:rFonts w:ascii="Times New Roman" w:hAnsi="Times New Roman"/>
          <w:b/>
          <w:sz w:val="24"/>
          <w:szCs w:val="24"/>
          <w:lang w:eastAsia="ru-RU"/>
        </w:rPr>
        <w:t xml:space="preserve">5. </w:t>
      </w:r>
      <w:r w:rsidRPr="00EE5F5F">
        <w:rPr>
          <w:rFonts w:ascii="Times New Roman" w:eastAsia="TimesNewRomanPSMT" w:hAnsi="Times New Roman"/>
          <w:b/>
          <w:sz w:val="24"/>
          <w:szCs w:val="24"/>
          <w:lang w:eastAsia="ru-RU"/>
        </w:rPr>
        <w:t>ФАРМАКОЛОГИЧЕСКИЕ СВОЙСТВА</w:t>
      </w:r>
    </w:p>
    <w:p w14:paraId="5DB909C6" w14:textId="77777777" w:rsidR="00C153F2" w:rsidRPr="00EE5F5F"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EE5F5F">
        <w:rPr>
          <w:rFonts w:ascii="Times New Roman" w:hAnsi="Times New Roman"/>
          <w:b/>
          <w:sz w:val="24"/>
          <w:szCs w:val="24"/>
          <w:lang w:eastAsia="ru-RU"/>
        </w:rPr>
        <w:t xml:space="preserve">5.1. </w:t>
      </w:r>
      <w:r w:rsidRPr="00EE5F5F">
        <w:rPr>
          <w:rFonts w:ascii="Times New Roman" w:eastAsia="TimesNewRomanPSMT" w:hAnsi="Times New Roman"/>
          <w:b/>
          <w:sz w:val="24"/>
          <w:szCs w:val="24"/>
          <w:lang w:eastAsia="ru-RU"/>
        </w:rPr>
        <w:t>Фармакодинамические свойства</w:t>
      </w:r>
    </w:p>
    <w:p w14:paraId="1EB8EBBD" w14:textId="77777777" w:rsidR="00BA549B" w:rsidRPr="00BA549B" w:rsidRDefault="00C153F2" w:rsidP="00BA549B">
      <w:pPr>
        <w:autoSpaceDE w:val="0"/>
        <w:autoSpaceDN w:val="0"/>
        <w:adjustRightInd w:val="0"/>
        <w:spacing w:after="0" w:line="240" w:lineRule="auto"/>
        <w:jc w:val="both"/>
        <w:rPr>
          <w:rFonts w:ascii="Times New Roman" w:eastAsia="TimesNewRomanPSMT" w:hAnsi="Times New Roman"/>
          <w:sz w:val="24"/>
          <w:szCs w:val="24"/>
          <w:lang w:eastAsia="ru-RU"/>
        </w:rPr>
      </w:pPr>
      <w:r w:rsidRPr="00EE5F5F">
        <w:rPr>
          <w:rFonts w:ascii="Times New Roman" w:eastAsia="TimesNewRomanPSMT" w:hAnsi="Times New Roman"/>
          <w:sz w:val="24"/>
          <w:szCs w:val="24"/>
          <w:lang w:eastAsia="ru-RU"/>
        </w:rPr>
        <w:t xml:space="preserve">Фармакотерапевтическая группа: </w:t>
      </w:r>
      <w:r w:rsidR="00BA549B" w:rsidRPr="00BA549B">
        <w:rPr>
          <w:rFonts w:ascii="Times New Roman" w:eastAsia="TimesNewRomanPSMT" w:hAnsi="Times New Roman"/>
          <w:sz w:val="24"/>
          <w:szCs w:val="24"/>
          <w:lang w:eastAsia="ru-RU"/>
        </w:rPr>
        <w:t xml:space="preserve">Противогрибковые препараты для системного применения. </w:t>
      </w:r>
      <w:r w:rsidR="00FC6DDA">
        <w:rPr>
          <w:rFonts w:ascii="Times New Roman" w:eastAsia="TimesNewRomanPSMT" w:hAnsi="Times New Roman"/>
          <w:sz w:val="24"/>
          <w:szCs w:val="24"/>
          <w:lang w:eastAsia="ru-RU"/>
        </w:rPr>
        <w:t>П</w:t>
      </w:r>
      <w:r w:rsidR="00BA549B" w:rsidRPr="00BA549B">
        <w:rPr>
          <w:rFonts w:ascii="Times New Roman" w:eastAsia="TimesNewRomanPSMT" w:hAnsi="Times New Roman"/>
          <w:sz w:val="24"/>
          <w:szCs w:val="24"/>
          <w:lang w:eastAsia="ru-RU"/>
        </w:rPr>
        <w:t>ротивогрибковые препараты для системного применения</w:t>
      </w:r>
      <w:r w:rsidR="00FC6DDA">
        <w:rPr>
          <w:rFonts w:ascii="Times New Roman" w:eastAsia="TimesNewRomanPSMT" w:hAnsi="Times New Roman"/>
          <w:sz w:val="24"/>
          <w:szCs w:val="24"/>
          <w:lang w:eastAsia="ru-RU"/>
        </w:rPr>
        <w:t xml:space="preserve"> другие</w:t>
      </w:r>
      <w:r w:rsidR="00BA549B" w:rsidRPr="00BA549B">
        <w:rPr>
          <w:rFonts w:ascii="Times New Roman" w:eastAsia="TimesNewRomanPSMT" w:hAnsi="Times New Roman"/>
          <w:sz w:val="24"/>
          <w:szCs w:val="24"/>
          <w:lang w:eastAsia="ru-RU"/>
        </w:rPr>
        <w:t>. Каспофунгин.</w:t>
      </w:r>
    </w:p>
    <w:p w14:paraId="37388056" w14:textId="77777777" w:rsidR="00BA549B" w:rsidRPr="00C14086" w:rsidRDefault="00BA549B" w:rsidP="00C14086">
      <w:pPr>
        <w:autoSpaceDE w:val="0"/>
        <w:autoSpaceDN w:val="0"/>
        <w:adjustRightInd w:val="0"/>
        <w:spacing w:after="0" w:line="20" w:lineRule="atLeast"/>
        <w:jc w:val="both"/>
        <w:rPr>
          <w:rFonts w:ascii="Times New Roman" w:eastAsia="TimesNewRomanPSMT" w:hAnsi="Times New Roman"/>
          <w:sz w:val="24"/>
          <w:szCs w:val="24"/>
          <w:lang w:eastAsia="ru-RU"/>
        </w:rPr>
      </w:pPr>
      <w:r w:rsidRPr="00C14086">
        <w:rPr>
          <w:rFonts w:ascii="Times New Roman" w:eastAsia="TimesNewRomanPSMT" w:hAnsi="Times New Roman"/>
          <w:sz w:val="24"/>
          <w:szCs w:val="24"/>
          <w:lang w:eastAsia="ru-RU"/>
        </w:rPr>
        <w:t>Код АТХ J02АХ04</w:t>
      </w:r>
    </w:p>
    <w:p w14:paraId="0DA03272" w14:textId="77777777" w:rsidR="00C14086" w:rsidRPr="00C14086" w:rsidRDefault="00C14086" w:rsidP="00C14086">
      <w:pPr>
        <w:spacing w:after="0" w:line="20" w:lineRule="atLeast"/>
        <w:ind w:right="-20"/>
        <w:jc w:val="both"/>
        <w:rPr>
          <w:rFonts w:ascii="Times New Roman" w:hAnsi="Times New Roman"/>
          <w:i/>
          <w:sz w:val="24"/>
          <w:szCs w:val="24"/>
        </w:rPr>
      </w:pPr>
      <w:r w:rsidRPr="00C14086">
        <w:rPr>
          <w:rFonts w:ascii="Times New Roman" w:hAnsi="Times New Roman"/>
          <w:i/>
          <w:sz w:val="24"/>
          <w:szCs w:val="24"/>
        </w:rPr>
        <w:t>Механизм действия</w:t>
      </w:r>
    </w:p>
    <w:p w14:paraId="55BBF2AA" w14:textId="77777777" w:rsidR="00C14086" w:rsidRPr="00C14086" w:rsidRDefault="00C14086" w:rsidP="00C14086">
      <w:pPr>
        <w:shd w:val="clear" w:color="auto" w:fill="FFFFFF"/>
        <w:spacing w:after="0" w:line="20" w:lineRule="atLeast"/>
        <w:jc w:val="both"/>
        <w:rPr>
          <w:rFonts w:ascii="Times New Roman" w:hAnsi="Times New Roman"/>
          <w:sz w:val="24"/>
          <w:szCs w:val="24"/>
        </w:rPr>
      </w:pPr>
      <w:r w:rsidRPr="00C14086">
        <w:rPr>
          <w:rFonts w:ascii="Times New Roman" w:hAnsi="Times New Roman"/>
          <w:sz w:val="24"/>
          <w:szCs w:val="24"/>
        </w:rPr>
        <w:t>Каспофунгина ацетат представляет собой полусинтетическое соединение липопептида (эхинокандина), синтезированное из продукта ферментации </w:t>
      </w:r>
      <w:r w:rsidRPr="00C14086">
        <w:rPr>
          <w:rFonts w:ascii="Times New Roman" w:hAnsi="Times New Roman"/>
          <w:i/>
          <w:iCs/>
          <w:sz w:val="24"/>
          <w:szCs w:val="24"/>
        </w:rPr>
        <w:t>Glarea lozoyensis. </w:t>
      </w:r>
      <w:r w:rsidRPr="00C14086">
        <w:rPr>
          <w:rFonts w:ascii="Times New Roman" w:hAnsi="Times New Roman"/>
          <w:sz w:val="24"/>
          <w:szCs w:val="24"/>
        </w:rPr>
        <w:t>Ацетат каспофунгина ингибирует синтез бета (1,3) -D-глюкана, существенного компонента клеточной стенки многих нитевидных грибов и дрожжей. Бета (1,3) -D-глюкан отсутствует в клетках млекопитающих.</w:t>
      </w:r>
    </w:p>
    <w:p w14:paraId="265946E4" w14:textId="77777777" w:rsidR="00C14086" w:rsidRPr="00C14086" w:rsidRDefault="00C14086" w:rsidP="00C14086">
      <w:pPr>
        <w:spacing w:after="0" w:line="20" w:lineRule="atLeast"/>
        <w:ind w:right="-20"/>
        <w:jc w:val="both"/>
        <w:rPr>
          <w:rFonts w:ascii="Times New Roman" w:hAnsi="Times New Roman"/>
          <w:sz w:val="24"/>
          <w:szCs w:val="24"/>
        </w:rPr>
      </w:pPr>
      <w:r w:rsidRPr="00C14086">
        <w:rPr>
          <w:rFonts w:ascii="Times New Roman" w:hAnsi="Times New Roman"/>
          <w:sz w:val="24"/>
          <w:szCs w:val="24"/>
        </w:rPr>
        <w:t xml:space="preserve">Каспофунгин продемонстрировал фунгицидную активность против дрожжей </w:t>
      </w:r>
      <w:r w:rsidRPr="00C14086">
        <w:rPr>
          <w:rFonts w:ascii="Times New Roman" w:hAnsi="Times New Roman"/>
          <w:i/>
          <w:sz w:val="24"/>
          <w:szCs w:val="24"/>
        </w:rPr>
        <w:t>Candida</w:t>
      </w:r>
      <w:r w:rsidRPr="00C14086">
        <w:rPr>
          <w:rFonts w:ascii="Times New Roman" w:hAnsi="Times New Roman"/>
          <w:sz w:val="24"/>
          <w:szCs w:val="24"/>
        </w:rPr>
        <w:t xml:space="preserve">. Исследования </w:t>
      </w:r>
      <w:r w:rsidRPr="00C14086">
        <w:rPr>
          <w:rFonts w:ascii="Times New Roman" w:hAnsi="Times New Roman"/>
          <w:i/>
          <w:sz w:val="24"/>
          <w:szCs w:val="24"/>
        </w:rPr>
        <w:t>in vitro</w:t>
      </w:r>
      <w:r w:rsidRPr="00C14086">
        <w:rPr>
          <w:rFonts w:ascii="Times New Roman" w:hAnsi="Times New Roman"/>
          <w:sz w:val="24"/>
          <w:szCs w:val="24"/>
        </w:rPr>
        <w:t xml:space="preserve"> и </w:t>
      </w:r>
      <w:r w:rsidRPr="00C14086">
        <w:rPr>
          <w:rFonts w:ascii="Times New Roman" w:hAnsi="Times New Roman"/>
          <w:i/>
          <w:sz w:val="24"/>
          <w:szCs w:val="24"/>
        </w:rPr>
        <w:t>in vivo</w:t>
      </w:r>
      <w:r w:rsidRPr="00C14086">
        <w:rPr>
          <w:rFonts w:ascii="Times New Roman" w:hAnsi="Times New Roman"/>
          <w:sz w:val="24"/>
          <w:szCs w:val="24"/>
        </w:rPr>
        <w:t xml:space="preserve"> демонстрируют, что воздействие каспофунгина на </w:t>
      </w:r>
      <w:r w:rsidRPr="00C14086">
        <w:rPr>
          <w:rFonts w:ascii="Times New Roman" w:hAnsi="Times New Roman"/>
          <w:i/>
          <w:sz w:val="24"/>
          <w:szCs w:val="24"/>
        </w:rPr>
        <w:t xml:space="preserve">Aspergillus </w:t>
      </w:r>
      <w:r w:rsidRPr="00C14086">
        <w:rPr>
          <w:rFonts w:ascii="Times New Roman" w:hAnsi="Times New Roman"/>
          <w:sz w:val="24"/>
          <w:szCs w:val="24"/>
        </w:rPr>
        <w:t>приводит к лизису и гибели апикальных вершин гифы и точек ветвления, где происходит рост и деление клеток.</w:t>
      </w:r>
    </w:p>
    <w:p w14:paraId="4A015838" w14:textId="77777777" w:rsidR="00C14086" w:rsidRPr="00C14086" w:rsidRDefault="00C14086" w:rsidP="00C14086">
      <w:pPr>
        <w:spacing w:after="0" w:line="20" w:lineRule="atLeast"/>
        <w:ind w:right="-20"/>
        <w:jc w:val="both"/>
        <w:rPr>
          <w:rFonts w:ascii="Times New Roman" w:hAnsi="Times New Roman"/>
          <w:i/>
          <w:sz w:val="24"/>
          <w:szCs w:val="24"/>
        </w:rPr>
      </w:pPr>
      <w:r w:rsidRPr="00C14086">
        <w:rPr>
          <w:rFonts w:ascii="Times New Roman" w:hAnsi="Times New Roman"/>
          <w:i/>
          <w:sz w:val="24"/>
          <w:szCs w:val="24"/>
        </w:rPr>
        <w:t>Фармакодинамические эффекты</w:t>
      </w:r>
    </w:p>
    <w:p w14:paraId="30A22972" w14:textId="77777777" w:rsidR="00C14086" w:rsidRPr="00C14086" w:rsidRDefault="00C14086" w:rsidP="00C14086">
      <w:pPr>
        <w:spacing w:after="0" w:line="20" w:lineRule="atLeast"/>
        <w:ind w:right="-20"/>
        <w:jc w:val="both"/>
        <w:rPr>
          <w:rFonts w:ascii="Times New Roman" w:hAnsi="Times New Roman"/>
          <w:sz w:val="24"/>
          <w:szCs w:val="24"/>
        </w:rPr>
      </w:pPr>
      <w:r w:rsidRPr="00C14086">
        <w:rPr>
          <w:rFonts w:ascii="Times New Roman" w:hAnsi="Times New Roman"/>
          <w:sz w:val="24"/>
          <w:szCs w:val="24"/>
        </w:rPr>
        <w:t xml:space="preserve">Каспофунгин обладает активностью </w:t>
      </w:r>
      <w:r w:rsidRPr="00C14086">
        <w:rPr>
          <w:rFonts w:ascii="Times New Roman" w:hAnsi="Times New Roman"/>
          <w:i/>
          <w:sz w:val="24"/>
          <w:szCs w:val="24"/>
        </w:rPr>
        <w:t>in vitro</w:t>
      </w:r>
      <w:r w:rsidRPr="00C14086">
        <w:rPr>
          <w:rFonts w:ascii="Times New Roman" w:hAnsi="Times New Roman"/>
          <w:sz w:val="24"/>
          <w:szCs w:val="24"/>
        </w:rPr>
        <w:t xml:space="preserve"> против видов </w:t>
      </w:r>
      <w:r w:rsidRPr="00C14086">
        <w:rPr>
          <w:rFonts w:ascii="Times New Roman" w:hAnsi="Times New Roman"/>
          <w:i/>
          <w:sz w:val="24"/>
          <w:szCs w:val="24"/>
        </w:rPr>
        <w:t xml:space="preserve">Aspergillus </w:t>
      </w:r>
      <w:r w:rsidRPr="00C14086">
        <w:rPr>
          <w:rFonts w:ascii="Times New Roman" w:hAnsi="Times New Roman"/>
          <w:sz w:val="24"/>
          <w:szCs w:val="24"/>
        </w:rPr>
        <w:t>(</w:t>
      </w:r>
      <w:r w:rsidRPr="00C14086">
        <w:rPr>
          <w:rFonts w:ascii="Times New Roman" w:hAnsi="Times New Roman"/>
          <w:i/>
          <w:sz w:val="24"/>
          <w:szCs w:val="24"/>
        </w:rPr>
        <w:t xml:space="preserve">Aspergillus fumigatus </w:t>
      </w:r>
      <w:r w:rsidRPr="00C14086">
        <w:rPr>
          <w:rFonts w:ascii="Times New Roman" w:hAnsi="Times New Roman"/>
          <w:sz w:val="24"/>
          <w:szCs w:val="24"/>
        </w:rPr>
        <w:t xml:space="preserve">[N = 75], </w:t>
      </w:r>
      <w:r w:rsidRPr="00C14086">
        <w:rPr>
          <w:rFonts w:ascii="Times New Roman" w:hAnsi="Times New Roman"/>
          <w:i/>
          <w:sz w:val="24"/>
          <w:szCs w:val="24"/>
        </w:rPr>
        <w:t xml:space="preserve">Aspergillus flavus </w:t>
      </w:r>
      <w:r w:rsidRPr="00C14086">
        <w:rPr>
          <w:rFonts w:ascii="Times New Roman" w:hAnsi="Times New Roman"/>
          <w:sz w:val="24"/>
          <w:szCs w:val="24"/>
        </w:rPr>
        <w:t xml:space="preserve">[N = 111], </w:t>
      </w:r>
      <w:r w:rsidRPr="00C14086">
        <w:rPr>
          <w:rFonts w:ascii="Times New Roman" w:hAnsi="Times New Roman"/>
          <w:i/>
          <w:sz w:val="24"/>
          <w:szCs w:val="24"/>
        </w:rPr>
        <w:t xml:space="preserve">Aspergillus niger </w:t>
      </w:r>
      <w:r w:rsidRPr="00C14086">
        <w:rPr>
          <w:rFonts w:ascii="Times New Roman" w:hAnsi="Times New Roman"/>
          <w:sz w:val="24"/>
          <w:szCs w:val="24"/>
        </w:rPr>
        <w:t xml:space="preserve">[N = 31], </w:t>
      </w:r>
      <w:r w:rsidRPr="00C14086">
        <w:rPr>
          <w:rFonts w:ascii="Times New Roman" w:hAnsi="Times New Roman"/>
          <w:i/>
          <w:sz w:val="24"/>
          <w:szCs w:val="24"/>
        </w:rPr>
        <w:t xml:space="preserve">Aspergillus nidulans </w:t>
      </w:r>
      <w:r w:rsidRPr="00C14086">
        <w:rPr>
          <w:rFonts w:ascii="Times New Roman" w:hAnsi="Times New Roman"/>
          <w:sz w:val="24"/>
          <w:szCs w:val="24"/>
        </w:rPr>
        <w:t xml:space="preserve">[N = 8], </w:t>
      </w:r>
      <w:r w:rsidRPr="00C14086">
        <w:rPr>
          <w:rFonts w:ascii="Times New Roman" w:hAnsi="Times New Roman"/>
          <w:i/>
          <w:sz w:val="24"/>
          <w:szCs w:val="24"/>
        </w:rPr>
        <w:t xml:space="preserve">Aspergillus terreus </w:t>
      </w:r>
      <w:r w:rsidRPr="00C14086">
        <w:rPr>
          <w:rFonts w:ascii="Times New Roman" w:hAnsi="Times New Roman"/>
          <w:sz w:val="24"/>
          <w:szCs w:val="24"/>
        </w:rPr>
        <w:t xml:space="preserve">[N = 52] и </w:t>
      </w:r>
      <w:r w:rsidRPr="00C14086">
        <w:rPr>
          <w:rFonts w:ascii="Times New Roman" w:hAnsi="Times New Roman"/>
          <w:i/>
          <w:sz w:val="24"/>
          <w:szCs w:val="24"/>
        </w:rPr>
        <w:t xml:space="preserve">Aspergillus candidus </w:t>
      </w:r>
      <w:r w:rsidRPr="00C14086">
        <w:rPr>
          <w:rFonts w:ascii="Times New Roman" w:hAnsi="Times New Roman"/>
          <w:sz w:val="24"/>
          <w:szCs w:val="24"/>
        </w:rPr>
        <w:t xml:space="preserve">[N = 3]). Каспофунгин также обладает активностью </w:t>
      </w:r>
      <w:r w:rsidRPr="00C14086">
        <w:rPr>
          <w:rFonts w:ascii="Times New Roman" w:hAnsi="Times New Roman"/>
          <w:i/>
          <w:sz w:val="24"/>
          <w:szCs w:val="24"/>
        </w:rPr>
        <w:t xml:space="preserve">in vitro </w:t>
      </w:r>
      <w:r w:rsidRPr="00C14086">
        <w:rPr>
          <w:rFonts w:ascii="Times New Roman" w:hAnsi="Times New Roman"/>
          <w:sz w:val="24"/>
          <w:szCs w:val="24"/>
        </w:rPr>
        <w:t xml:space="preserve">против видов </w:t>
      </w:r>
      <w:r w:rsidRPr="00C14086">
        <w:rPr>
          <w:rFonts w:ascii="Times New Roman" w:hAnsi="Times New Roman"/>
          <w:i/>
          <w:sz w:val="24"/>
          <w:szCs w:val="24"/>
        </w:rPr>
        <w:t xml:space="preserve">Candida </w:t>
      </w:r>
      <w:r w:rsidRPr="00C14086">
        <w:rPr>
          <w:rFonts w:ascii="Times New Roman" w:hAnsi="Times New Roman"/>
          <w:sz w:val="24"/>
          <w:szCs w:val="24"/>
        </w:rPr>
        <w:t>(</w:t>
      </w:r>
      <w:r w:rsidRPr="00C14086">
        <w:rPr>
          <w:rFonts w:ascii="Times New Roman" w:hAnsi="Times New Roman"/>
          <w:i/>
          <w:sz w:val="24"/>
          <w:szCs w:val="24"/>
        </w:rPr>
        <w:t xml:space="preserve">Candida albicans </w:t>
      </w:r>
      <w:r w:rsidRPr="00C14086">
        <w:rPr>
          <w:rFonts w:ascii="Times New Roman" w:hAnsi="Times New Roman"/>
          <w:sz w:val="24"/>
          <w:szCs w:val="24"/>
        </w:rPr>
        <w:t xml:space="preserve">[N = 1,032], </w:t>
      </w:r>
      <w:r w:rsidRPr="00C14086">
        <w:rPr>
          <w:rFonts w:ascii="Times New Roman" w:hAnsi="Times New Roman"/>
          <w:i/>
          <w:sz w:val="24"/>
          <w:szCs w:val="24"/>
        </w:rPr>
        <w:t xml:space="preserve">Candida dubliniensis </w:t>
      </w:r>
      <w:r w:rsidRPr="00C14086">
        <w:rPr>
          <w:rFonts w:ascii="Times New Roman" w:hAnsi="Times New Roman"/>
          <w:sz w:val="24"/>
          <w:szCs w:val="24"/>
        </w:rPr>
        <w:t xml:space="preserve">[N = 100], </w:t>
      </w:r>
      <w:r w:rsidRPr="00C14086">
        <w:rPr>
          <w:rFonts w:ascii="Times New Roman" w:hAnsi="Times New Roman"/>
          <w:i/>
          <w:sz w:val="24"/>
          <w:szCs w:val="24"/>
        </w:rPr>
        <w:t xml:space="preserve">Candida glabrata </w:t>
      </w:r>
      <w:r w:rsidRPr="00C14086">
        <w:rPr>
          <w:rFonts w:ascii="Times New Roman" w:hAnsi="Times New Roman"/>
          <w:sz w:val="24"/>
          <w:szCs w:val="24"/>
        </w:rPr>
        <w:t xml:space="preserve">[N = 151], </w:t>
      </w:r>
      <w:r w:rsidRPr="00C14086">
        <w:rPr>
          <w:rFonts w:ascii="Times New Roman" w:hAnsi="Times New Roman"/>
          <w:i/>
          <w:sz w:val="24"/>
          <w:szCs w:val="24"/>
        </w:rPr>
        <w:t xml:space="preserve">Candida guilliermondii </w:t>
      </w:r>
      <w:r w:rsidRPr="00C14086">
        <w:rPr>
          <w:rFonts w:ascii="Times New Roman" w:hAnsi="Times New Roman"/>
          <w:sz w:val="24"/>
          <w:szCs w:val="24"/>
        </w:rPr>
        <w:t xml:space="preserve">[N = 67], </w:t>
      </w:r>
      <w:r w:rsidRPr="00C14086">
        <w:rPr>
          <w:rFonts w:ascii="Times New Roman" w:hAnsi="Times New Roman"/>
          <w:i/>
          <w:sz w:val="24"/>
          <w:szCs w:val="24"/>
        </w:rPr>
        <w:t xml:space="preserve">Candida kefyr </w:t>
      </w:r>
      <w:r w:rsidRPr="00C14086">
        <w:rPr>
          <w:rFonts w:ascii="Times New Roman" w:hAnsi="Times New Roman"/>
          <w:sz w:val="24"/>
          <w:szCs w:val="24"/>
        </w:rPr>
        <w:t xml:space="preserve">[N = 62], </w:t>
      </w:r>
      <w:r w:rsidRPr="00C14086">
        <w:rPr>
          <w:rFonts w:ascii="Times New Roman" w:hAnsi="Times New Roman"/>
          <w:i/>
          <w:sz w:val="24"/>
          <w:szCs w:val="24"/>
        </w:rPr>
        <w:t xml:space="preserve">Candida krusei </w:t>
      </w:r>
      <w:r w:rsidRPr="00C14086">
        <w:rPr>
          <w:rFonts w:ascii="Times New Roman" w:hAnsi="Times New Roman"/>
          <w:sz w:val="24"/>
          <w:szCs w:val="24"/>
        </w:rPr>
        <w:t xml:space="preserve">[N = 147], </w:t>
      </w:r>
      <w:r w:rsidRPr="00C14086">
        <w:rPr>
          <w:rFonts w:ascii="Times New Roman" w:hAnsi="Times New Roman"/>
          <w:i/>
          <w:sz w:val="24"/>
          <w:szCs w:val="24"/>
        </w:rPr>
        <w:t xml:space="preserve">Candida lipolytica </w:t>
      </w:r>
      <w:r w:rsidRPr="00C14086">
        <w:rPr>
          <w:rFonts w:ascii="Times New Roman" w:hAnsi="Times New Roman"/>
          <w:sz w:val="24"/>
          <w:szCs w:val="24"/>
        </w:rPr>
        <w:t xml:space="preserve">[N = 20], </w:t>
      </w:r>
      <w:r w:rsidRPr="00C14086">
        <w:rPr>
          <w:rFonts w:ascii="Times New Roman" w:hAnsi="Times New Roman"/>
          <w:i/>
          <w:sz w:val="24"/>
          <w:szCs w:val="24"/>
        </w:rPr>
        <w:t xml:space="preserve">Candida lusitaniae </w:t>
      </w:r>
      <w:r w:rsidRPr="00C14086">
        <w:rPr>
          <w:rFonts w:ascii="Times New Roman" w:hAnsi="Times New Roman"/>
          <w:sz w:val="24"/>
          <w:szCs w:val="24"/>
        </w:rPr>
        <w:t xml:space="preserve">[N = 80], </w:t>
      </w:r>
      <w:r w:rsidRPr="00C14086">
        <w:rPr>
          <w:rFonts w:ascii="Times New Roman" w:hAnsi="Times New Roman"/>
          <w:i/>
          <w:sz w:val="24"/>
          <w:szCs w:val="24"/>
        </w:rPr>
        <w:t xml:space="preserve">Candida parapsilosis </w:t>
      </w:r>
      <w:r w:rsidRPr="00C14086">
        <w:rPr>
          <w:rFonts w:ascii="Times New Roman" w:hAnsi="Times New Roman"/>
          <w:sz w:val="24"/>
          <w:szCs w:val="24"/>
        </w:rPr>
        <w:t xml:space="preserve">[N = 215], </w:t>
      </w:r>
      <w:r w:rsidRPr="00C14086">
        <w:rPr>
          <w:rFonts w:ascii="Times New Roman" w:hAnsi="Times New Roman"/>
          <w:i/>
          <w:sz w:val="24"/>
          <w:szCs w:val="24"/>
        </w:rPr>
        <w:t xml:space="preserve">Candida rugosa </w:t>
      </w:r>
      <w:r w:rsidRPr="00C14086">
        <w:rPr>
          <w:rFonts w:ascii="Times New Roman" w:hAnsi="Times New Roman"/>
          <w:sz w:val="24"/>
          <w:szCs w:val="24"/>
        </w:rPr>
        <w:t xml:space="preserve">[N = 1] и </w:t>
      </w:r>
      <w:r w:rsidRPr="00C14086">
        <w:rPr>
          <w:rFonts w:ascii="Times New Roman" w:hAnsi="Times New Roman"/>
          <w:i/>
          <w:sz w:val="24"/>
          <w:szCs w:val="24"/>
        </w:rPr>
        <w:t xml:space="preserve">Candida tropicalis </w:t>
      </w:r>
      <w:r w:rsidRPr="00C14086">
        <w:rPr>
          <w:rFonts w:ascii="Times New Roman" w:hAnsi="Times New Roman"/>
          <w:sz w:val="24"/>
          <w:szCs w:val="24"/>
        </w:rPr>
        <w:t xml:space="preserve">[N = 258]), включая изоляты с множественной резистентностью из-за мутаций белков-транспортеров и изоляты с приобретенной или природной резистентностью к флуконазолу, амфотерицину B и 5-флуцитозину. Тестирование чувствительности было выполнено с помощью методов M38-A2 (для видов </w:t>
      </w:r>
      <w:r w:rsidRPr="00C14086">
        <w:rPr>
          <w:rFonts w:ascii="Times New Roman" w:hAnsi="Times New Roman"/>
          <w:i/>
          <w:sz w:val="24"/>
          <w:szCs w:val="24"/>
        </w:rPr>
        <w:t>Aspergillus</w:t>
      </w:r>
      <w:r w:rsidRPr="00C14086">
        <w:rPr>
          <w:rFonts w:ascii="Times New Roman" w:hAnsi="Times New Roman"/>
          <w:sz w:val="24"/>
          <w:szCs w:val="24"/>
        </w:rPr>
        <w:t xml:space="preserve">) и M27-A3 (для видов </w:t>
      </w:r>
      <w:r w:rsidRPr="00C14086">
        <w:rPr>
          <w:rFonts w:ascii="Times New Roman" w:hAnsi="Times New Roman"/>
          <w:i/>
          <w:sz w:val="24"/>
          <w:szCs w:val="24"/>
        </w:rPr>
        <w:t>Candida</w:t>
      </w:r>
      <w:r w:rsidRPr="00C14086">
        <w:rPr>
          <w:rFonts w:ascii="Times New Roman" w:hAnsi="Times New Roman"/>
          <w:sz w:val="24"/>
          <w:szCs w:val="24"/>
        </w:rPr>
        <w:t>) в соответствии с модификацией Института клинических и лабораторных стандартов (CLSI, ранее известный как Национальный комитет по клиническим и лабораторным стандартам [NCCLS]).</w:t>
      </w:r>
    </w:p>
    <w:p w14:paraId="581CD0BB" w14:textId="77777777" w:rsidR="00C14086" w:rsidRPr="00C14086" w:rsidRDefault="00C14086" w:rsidP="00C14086">
      <w:pPr>
        <w:spacing w:after="0" w:line="20" w:lineRule="atLeast"/>
        <w:jc w:val="both"/>
        <w:rPr>
          <w:rFonts w:ascii="Times New Roman" w:hAnsi="Times New Roman"/>
          <w:sz w:val="24"/>
          <w:szCs w:val="24"/>
        </w:rPr>
      </w:pPr>
      <w:r w:rsidRPr="00C14086">
        <w:rPr>
          <w:rFonts w:ascii="Times New Roman" w:hAnsi="Times New Roman"/>
          <w:sz w:val="24"/>
          <w:szCs w:val="24"/>
        </w:rPr>
        <w:t xml:space="preserve">Стандартизированнные методы тестирования чувствительности для дрожжевых грибков были установлены </w:t>
      </w:r>
      <w:r w:rsidRPr="00C14086">
        <w:rPr>
          <w:rFonts w:ascii="Times New Roman" w:hAnsi="Times New Roman"/>
          <w:bCs/>
          <w:color w:val="000000"/>
          <w:sz w:val="24"/>
          <w:szCs w:val="24"/>
        </w:rPr>
        <w:t>Европейским комитетом по тестированию противомикробной чувствительности (EUCAST)</w:t>
      </w:r>
      <w:r w:rsidRPr="00C14086">
        <w:rPr>
          <w:rFonts w:ascii="Times New Roman" w:hAnsi="Times New Roman"/>
          <w:sz w:val="24"/>
          <w:szCs w:val="24"/>
        </w:rPr>
        <w:t xml:space="preserve">. Из-за значительного межлабораторного разброса диапазонов MIC (минимальная подавляющая </w:t>
      </w:r>
      <w:r w:rsidRPr="00C14086">
        <w:rPr>
          <w:rFonts w:ascii="Times New Roman" w:hAnsi="Times New Roman"/>
          <w:sz w:val="24"/>
          <w:szCs w:val="24"/>
        </w:rPr>
        <w:lastRenderedPageBreak/>
        <w:t xml:space="preserve">концентрация) для каспофунгина пограничные значения MIC EUCAST еще не установил. Не имея пограничных значений, изоляты </w:t>
      </w:r>
      <w:r w:rsidRPr="00C14086">
        <w:rPr>
          <w:rFonts w:ascii="Times New Roman" w:hAnsi="Times New Roman"/>
          <w:i/>
          <w:sz w:val="24"/>
          <w:szCs w:val="24"/>
        </w:rPr>
        <w:t>Candida,</w:t>
      </w:r>
      <w:r w:rsidRPr="00C14086">
        <w:rPr>
          <w:rFonts w:ascii="Times New Roman" w:hAnsi="Times New Roman"/>
          <w:sz w:val="24"/>
          <w:szCs w:val="24"/>
        </w:rPr>
        <w:t xml:space="preserve"> чувствительные к анидулафунгину, а также к микафунгину, следует считать чувствительными к каспофунгину. Аналогично, изоляты C. </w:t>
      </w:r>
      <w:r w:rsidRPr="00C14086">
        <w:rPr>
          <w:rFonts w:ascii="Times New Roman" w:hAnsi="Times New Roman"/>
          <w:i/>
          <w:sz w:val="24"/>
          <w:szCs w:val="24"/>
        </w:rPr>
        <w:t xml:space="preserve">Parapsilosis, </w:t>
      </w:r>
      <w:r w:rsidRPr="00C14086">
        <w:rPr>
          <w:rFonts w:ascii="Times New Roman" w:hAnsi="Times New Roman"/>
          <w:sz w:val="24"/>
          <w:szCs w:val="24"/>
        </w:rPr>
        <w:t xml:space="preserve">умеренно-резистентные к анидулафунгину и микафунгину, можно считать умеренно-резистентными к каспофунгину. </w:t>
      </w:r>
    </w:p>
    <w:p w14:paraId="6480795D" w14:textId="77777777" w:rsidR="00C14086" w:rsidRPr="00C14086" w:rsidRDefault="00C14086" w:rsidP="00C14086">
      <w:pPr>
        <w:spacing w:after="0" w:line="20" w:lineRule="atLeast"/>
        <w:ind w:right="-20"/>
        <w:jc w:val="both"/>
        <w:rPr>
          <w:rFonts w:ascii="Times New Roman" w:hAnsi="Times New Roman"/>
          <w:i/>
          <w:sz w:val="24"/>
          <w:szCs w:val="24"/>
        </w:rPr>
      </w:pPr>
      <w:r w:rsidRPr="00C14086">
        <w:rPr>
          <w:rFonts w:ascii="Times New Roman" w:hAnsi="Times New Roman"/>
          <w:i/>
          <w:sz w:val="24"/>
          <w:szCs w:val="24"/>
        </w:rPr>
        <w:t>Механизм резистентности</w:t>
      </w:r>
    </w:p>
    <w:p w14:paraId="2FBCC00D" w14:textId="77777777" w:rsidR="00C14086" w:rsidRPr="00C14086" w:rsidRDefault="00C14086" w:rsidP="00C14086">
      <w:pPr>
        <w:shd w:val="clear" w:color="auto" w:fill="FFFFFF"/>
        <w:spacing w:after="0" w:line="20" w:lineRule="atLeast"/>
        <w:jc w:val="both"/>
        <w:rPr>
          <w:rFonts w:ascii="Times New Roman" w:hAnsi="Times New Roman"/>
          <w:sz w:val="24"/>
          <w:szCs w:val="24"/>
        </w:rPr>
      </w:pPr>
      <w:r w:rsidRPr="00C14086">
        <w:rPr>
          <w:rFonts w:ascii="Times New Roman" w:hAnsi="Times New Roman"/>
          <w:sz w:val="24"/>
          <w:szCs w:val="24"/>
        </w:rPr>
        <w:t xml:space="preserve">Изоляты </w:t>
      </w:r>
      <w:r w:rsidRPr="00C14086">
        <w:rPr>
          <w:rFonts w:ascii="Times New Roman" w:hAnsi="Times New Roman"/>
          <w:i/>
          <w:sz w:val="24"/>
          <w:szCs w:val="24"/>
        </w:rPr>
        <w:t>Candida</w:t>
      </w:r>
      <w:r w:rsidRPr="00C14086">
        <w:rPr>
          <w:rFonts w:ascii="Times New Roman" w:hAnsi="Times New Roman"/>
          <w:sz w:val="24"/>
          <w:szCs w:val="24"/>
        </w:rPr>
        <w:t xml:space="preserve"> со cниженной чувствительностью к каспофунгину были идентифицированы у небольшого числа пациентов во время лечения (значения MIC для каспофунгина &gt;2 мг/л (4-30-кратные повышения MIC) были зарегистрированы с использованием стандартизированных методов тестирования MIC, одобренных CLSI). Механизмом идентифицированной резистентности являются мутации генов FKS1 и/или FKS2 (для </w:t>
      </w:r>
      <w:r w:rsidRPr="00C14086">
        <w:rPr>
          <w:rFonts w:ascii="Times New Roman" w:hAnsi="Times New Roman"/>
          <w:i/>
          <w:sz w:val="24"/>
          <w:szCs w:val="24"/>
        </w:rPr>
        <w:t>C. glabrata</w:t>
      </w:r>
      <w:r w:rsidRPr="00C14086">
        <w:rPr>
          <w:rFonts w:ascii="Times New Roman" w:hAnsi="Times New Roman"/>
          <w:sz w:val="24"/>
          <w:szCs w:val="24"/>
        </w:rPr>
        <w:t xml:space="preserve">). Эти случаи ассоциировались с неблагоприятными клиническими исходами. </w:t>
      </w:r>
    </w:p>
    <w:p w14:paraId="77206F56" w14:textId="77777777" w:rsidR="00C14086" w:rsidRPr="00C14086" w:rsidRDefault="00C14086" w:rsidP="00C14086">
      <w:pPr>
        <w:spacing w:after="0" w:line="20" w:lineRule="atLeast"/>
        <w:ind w:right="-20"/>
        <w:jc w:val="both"/>
        <w:rPr>
          <w:rFonts w:ascii="Times New Roman" w:hAnsi="Times New Roman"/>
          <w:sz w:val="24"/>
          <w:szCs w:val="24"/>
        </w:rPr>
      </w:pPr>
      <w:r w:rsidRPr="00C14086">
        <w:rPr>
          <w:rFonts w:ascii="Times New Roman" w:hAnsi="Times New Roman"/>
          <w:sz w:val="24"/>
          <w:szCs w:val="24"/>
        </w:rPr>
        <w:t xml:space="preserve">Развитие </w:t>
      </w:r>
      <w:r w:rsidRPr="00C14086">
        <w:rPr>
          <w:rFonts w:ascii="Times New Roman" w:hAnsi="Times New Roman"/>
          <w:i/>
          <w:sz w:val="24"/>
          <w:szCs w:val="24"/>
        </w:rPr>
        <w:t xml:space="preserve">in vitro </w:t>
      </w:r>
      <w:r w:rsidRPr="00C14086">
        <w:rPr>
          <w:rFonts w:ascii="Times New Roman" w:hAnsi="Times New Roman"/>
          <w:sz w:val="24"/>
          <w:szCs w:val="24"/>
        </w:rPr>
        <w:t xml:space="preserve">резистентности к каспофунгину выявлено у грибков </w:t>
      </w:r>
      <w:r w:rsidRPr="00C14086">
        <w:rPr>
          <w:rFonts w:ascii="Times New Roman" w:hAnsi="Times New Roman"/>
          <w:i/>
          <w:sz w:val="24"/>
          <w:szCs w:val="24"/>
        </w:rPr>
        <w:t>Aspergillus</w:t>
      </w:r>
      <w:r w:rsidRPr="00C14086">
        <w:rPr>
          <w:rFonts w:ascii="Times New Roman" w:hAnsi="Times New Roman"/>
          <w:sz w:val="24"/>
          <w:szCs w:val="24"/>
        </w:rPr>
        <w:t xml:space="preserve">. Резистентность к каспофунгину наблюдалась при ограниченном клиническом применении у больных с инвазивным аспергиллезом. Механизм резистентности не установлен. Случаи резистентности к каспофунгину у различных клинических изолятов </w:t>
      </w:r>
      <w:r w:rsidRPr="00C14086">
        <w:rPr>
          <w:rFonts w:ascii="Times New Roman" w:hAnsi="Times New Roman"/>
          <w:i/>
          <w:sz w:val="24"/>
          <w:szCs w:val="24"/>
        </w:rPr>
        <w:t>Candida и</w:t>
      </w:r>
      <w:r w:rsidRPr="00C14086">
        <w:rPr>
          <w:rFonts w:ascii="Times New Roman" w:hAnsi="Times New Roman"/>
          <w:sz w:val="24"/>
          <w:szCs w:val="24"/>
        </w:rPr>
        <w:t xml:space="preserve"> </w:t>
      </w:r>
      <w:r w:rsidRPr="00C14086">
        <w:rPr>
          <w:rFonts w:ascii="Times New Roman" w:hAnsi="Times New Roman"/>
          <w:i/>
          <w:sz w:val="24"/>
          <w:szCs w:val="24"/>
        </w:rPr>
        <w:t xml:space="preserve">Aspergillus </w:t>
      </w:r>
      <w:r w:rsidRPr="00C14086">
        <w:rPr>
          <w:rFonts w:ascii="Times New Roman" w:hAnsi="Times New Roman"/>
          <w:sz w:val="24"/>
          <w:szCs w:val="24"/>
        </w:rPr>
        <w:t xml:space="preserve">встречались редко. Наблюдалась резистентность </w:t>
      </w:r>
      <w:r w:rsidRPr="00C14086">
        <w:rPr>
          <w:rFonts w:ascii="Times New Roman" w:hAnsi="Times New Roman"/>
          <w:i/>
          <w:sz w:val="24"/>
          <w:szCs w:val="24"/>
        </w:rPr>
        <w:t>Candida</w:t>
      </w:r>
      <w:r w:rsidRPr="00C14086">
        <w:rPr>
          <w:rFonts w:ascii="Times New Roman" w:hAnsi="Times New Roman"/>
          <w:sz w:val="24"/>
          <w:szCs w:val="24"/>
        </w:rPr>
        <w:t xml:space="preserve"> к каспофунгину, но случаи могут различаться в зависимости от вида или региона.</w:t>
      </w:r>
    </w:p>
    <w:p w14:paraId="325C346C" w14:textId="77777777" w:rsidR="00C14086" w:rsidRPr="00C14086" w:rsidRDefault="00C14086" w:rsidP="00C14086">
      <w:pPr>
        <w:spacing w:after="0" w:line="20" w:lineRule="atLeast"/>
        <w:ind w:right="-20"/>
        <w:jc w:val="both"/>
        <w:rPr>
          <w:rFonts w:ascii="Times New Roman" w:hAnsi="Times New Roman"/>
          <w:i/>
          <w:sz w:val="24"/>
          <w:szCs w:val="24"/>
        </w:rPr>
      </w:pPr>
      <w:r w:rsidRPr="00C14086">
        <w:rPr>
          <w:rFonts w:ascii="Times New Roman" w:hAnsi="Times New Roman"/>
          <w:i/>
          <w:sz w:val="24"/>
          <w:szCs w:val="24"/>
        </w:rPr>
        <w:t>Клиническая эффективность и безопасность</w:t>
      </w:r>
    </w:p>
    <w:p w14:paraId="1653E895" w14:textId="77777777" w:rsidR="00C83A16" w:rsidRPr="00C14086" w:rsidRDefault="00C14086" w:rsidP="00C14086">
      <w:pPr>
        <w:spacing w:after="0" w:line="20" w:lineRule="atLeast"/>
        <w:ind w:right="-20"/>
        <w:jc w:val="both"/>
        <w:rPr>
          <w:rFonts w:ascii="Times New Roman" w:hAnsi="Times New Roman"/>
          <w:sz w:val="24"/>
          <w:szCs w:val="24"/>
        </w:rPr>
      </w:pPr>
      <w:r w:rsidRPr="00C14086">
        <w:rPr>
          <w:rFonts w:ascii="Times New Roman" w:hAnsi="Times New Roman"/>
          <w:i/>
          <w:sz w:val="24"/>
          <w:szCs w:val="24"/>
        </w:rPr>
        <w:t xml:space="preserve">Инвазивный кандидоз у взрослых пациентов: </w:t>
      </w:r>
      <w:r w:rsidRPr="00C14086">
        <w:rPr>
          <w:rFonts w:ascii="Times New Roman" w:hAnsi="Times New Roman"/>
          <w:sz w:val="24"/>
          <w:szCs w:val="24"/>
        </w:rPr>
        <w:t>в клиническом исследовании с участием 239 пациентов сравнивали эффективность каспофунгина и амфотерицина B. У 24 пациентов была нейтропения, у 186 пациентов (77%) была кандидемия, у 19 (8%) - кандидозный перитонит. Каспофунгин 50 мг один раз в сутки вводили после нагрузочной дозы 70 мг, а амфотерицин B вводили по 0,6-0,7 мг/кг/сутки пациентам без нейтропении или по 0,7-1,0 мг/кг/сутки пациентам с нейтропенией. Средняя продолжительность внутривенной терапии составила 11,9 дней (от 1 до 28 дней). Частота благоприятных ответов на лечение инвазивного кандидоза была для каспофунгина (73 % [80/109]) и амфотерицина B (62 % [71/115]) [</w:t>
      </w:r>
      <w:r w:rsidRPr="00C14086">
        <w:rPr>
          <w:rFonts w:ascii="Times New Roman" w:hAnsi="Times New Roman"/>
          <w:position w:val="-1"/>
          <w:sz w:val="24"/>
          <w:szCs w:val="24"/>
        </w:rPr>
        <w:t xml:space="preserve">разница </w:t>
      </w:r>
      <w:r w:rsidRPr="00C14086">
        <w:rPr>
          <w:rFonts w:ascii="Times New Roman" w:hAnsi="Times New Roman"/>
          <w:sz w:val="24"/>
          <w:szCs w:val="24"/>
        </w:rPr>
        <w:t>12,7</w:t>
      </w:r>
      <w:r w:rsidRPr="00C14086">
        <w:rPr>
          <w:rFonts w:ascii="Times New Roman" w:hAnsi="Times New Roman"/>
          <w:position w:val="-1"/>
          <w:sz w:val="24"/>
          <w:szCs w:val="24"/>
        </w:rPr>
        <w:t> %</w:t>
      </w:r>
      <w:r w:rsidRPr="00C14086">
        <w:rPr>
          <w:rFonts w:ascii="Times New Roman" w:hAnsi="Times New Roman"/>
          <w:sz w:val="24"/>
          <w:szCs w:val="24"/>
        </w:rPr>
        <w:t xml:space="preserve"> (95,6 % ДИ -0,7, 26,0)]. У пациентов с кандидемией частота благоприятного ответа в была для каспофунгина (72 % [66/92]) и амфотерицина B (63 % [59/94]) [разница 10,0 % (95,0 % ДИ -4,5, 24,5)]. Частота благоприятного ответа у пациентов с нейтропенией составила 7/14 (50 %) в группе каспофунгина и 4/10 (40 %) в группе амфотерицина B. Эти ограниченные данные подтверждаются результатами исследования эмпирической терапии. В другом исследовании сравнивались суточные дозы каспофунгина: по 50 мг/сутки (после нагрузочной дозы в 70 мг в 1 день) и по 150 мг/сутки. Каспофунгин вводили на протяжении 2 часов (вместо стандартного 1-часового введения). У 8% пациентов была нейтропения. Общая частота благоприятного ответа в конце лечения каспофунгином была схожа в 2</w:t>
      </w:r>
      <w:r w:rsidRPr="00C14086">
        <w:rPr>
          <w:rFonts w:ascii="Times New Roman" w:hAnsi="Times New Roman"/>
          <w:sz w:val="24"/>
          <w:szCs w:val="24"/>
          <w:vertAlign w:val="superscript"/>
        </w:rPr>
        <w:t>х</w:t>
      </w:r>
      <w:r w:rsidRPr="00C14086">
        <w:rPr>
          <w:rFonts w:ascii="Times New Roman" w:hAnsi="Times New Roman"/>
          <w:sz w:val="24"/>
          <w:szCs w:val="24"/>
        </w:rPr>
        <w:t xml:space="preserve"> группах лечения: 72 % (73/102) и 78 % (74/95) для групп лечения каспофунгином по 50 мг и 150 мг, соответственно (разница 6,3 % [95 % ДИ -5,9, 18,4]).</w:t>
      </w:r>
    </w:p>
    <w:p w14:paraId="2C0E4B56" w14:textId="77777777" w:rsidR="00C14086" w:rsidRPr="00C14086" w:rsidRDefault="00C14086" w:rsidP="00C14086">
      <w:pPr>
        <w:spacing w:after="0" w:line="20" w:lineRule="atLeast"/>
        <w:ind w:right="-20"/>
        <w:jc w:val="both"/>
        <w:rPr>
          <w:rFonts w:ascii="Times New Roman" w:hAnsi="Times New Roman"/>
          <w:sz w:val="24"/>
          <w:szCs w:val="24"/>
        </w:rPr>
      </w:pPr>
      <w:r w:rsidRPr="00C14086">
        <w:rPr>
          <w:rFonts w:ascii="Times New Roman" w:hAnsi="Times New Roman"/>
          <w:i/>
          <w:sz w:val="24"/>
          <w:szCs w:val="24"/>
        </w:rPr>
        <w:t>Инвазивный аспергиллез у взрослых пациентов:</w:t>
      </w:r>
      <w:r w:rsidRPr="00C14086">
        <w:rPr>
          <w:rFonts w:ascii="Times New Roman" w:hAnsi="Times New Roman"/>
          <w:sz w:val="24"/>
          <w:szCs w:val="24"/>
        </w:rPr>
        <w:t xml:space="preserve"> в открытом несравнительном исследовании оценивали безопасность, переносимость и эффективность каспофунгина у 69 пациентов. Из них у 84% пациентов была резистентность (прогрессирование заболевания или отсутствие улучшений при использовании другой противогрибковой терапии в течение не менее 7 дней) и у 16% - непереносимость других стандартных противогрибковых терапий. У большинства больных были основные заболевания (микоз был вторичным заболеванием или осложнением): гематологическая злокачественная опухоль [N = 24], трансплантация алогенного костного мозга или стволовых клеток [N = 18], трансплантация органов [N = 8], солидная опухоль [N = 3] или другие заболевания [N = 10]. Благоприятный ответ включал клинически значимое </w:t>
      </w:r>
      <w:r w:rsidRPr="00C14086">
        <w:rPr>
          <w:rFonts w:ascii="Times New Roman" w:hAnsi="Times New Roman"/>
          <w:sz w:val="24"/>
          <w:szCs w:val="24"/>
        </w:rPr>
        <w:lastRenderedPageBreak/>
        <w:t>улучшение на рентгеновских снимках, а также улучшение симптомов. Средняя продолжительность лечения составила 33,7 дней (от 1 до 162 дней). Благоприятный ответ был у 41 % (26/63) пациентов, принимавших не менее одной дозы каспофунгина, у 50 % (26/52) пациентов, получавших лечение каспофунгином более 7 дней. Частота благоприятного ответа у пациентов с резистентностью или непереносимостью предыдущего лечения составила 36 % (19/53) и 70 % (7/10), соответственно. Частота ответа среди пациентов с легочными и внелегочными формами заболевания составила 47 % (21/45) и 28 % (5/18), соответственно. Среди пациентов с внелегочным аспергиллезом (с поражением ЦНС) у 2 из 8 был благоприятный ответ.</w:t>
      </w:r>
    </w:p>
    <w:p w14:paraId="3B6CE65A" w14:textId="77777777" w:rsidR="00C14086" w:rsidRPr="00C14086" w:rsidRDefault="00C14086" w:rsidP="00C14086">
      <w:pPr>
        <w:spacing w:after="0" w:line="20" w:lineRule="atLeast"/>
        <w:ind w:right="-20"/>
        <w:jc w:val="both"/>
        <w:rPr>
          <w:rFonts w:ascii="Times New Roman" w:hAnsi="Times New Roman"/>
          <w:sz w:val="24"/>
          <w:szCs w:val="24"/>
        </w:rPr>
      </w:pPr>
      <w:r w:rsidRPr="00C14086">
        <w:rPr>
          <w:rFonts w:ascii="Times New Roman" w:hAnsi="Times New Roman"/>
          <w:i/>
          <w:sz w:val="24"/>
          <w:szCs w:val="24"/>
        </w:rPr>
        <w:t xml:space="preserve">Эмпирическая терапия у взрослых пациентов с фебрильной нейтропенией: </w:t>
      </w:r>
      <w:r w:rsidRPr="00C14086">
        <w:rPr>
          <w:rFonts w:ascii="Times New Roman" w:hAnsi="Times New Roman"/>
          <w:sz w:val="24"/>
          <w:szCs w:val="24"/>
        </w:rPr>
        <w:t>в клиническом исследовании 1111 пациентов с персистирующей лихорадкой [&gt;38,0°C] и нейтропенией [&lt;500 клеток/мм</w:t>
      </w:r>
      <w:r w:rsidRPr="00C14086">
        <w:rPr>
          <w:rFonts w:ascii="Times New Roman" w:hAnsi="Times New Roman"/>
          <w:sz w:val="24"/>
          <w:szCs w:val="24"/>
          <w:vertAlign w:val="superscript"/>
        </w:rPr>
        <w:t>3</w:t>
      </w:r>
      <w:r w:rsidRPr="00C14086">
        <w:rPr>
          <w:rFonts w:ascii="Times New Roman" w:hAnsi="Times New Roman"/>
          <w:sz w:val="24"/>
          <w:szCs w:val="24"/>
        </w:rPr>
        <w:t xml:space="preserve">] (в результате химиотерапии злокачественной опухоли или трансплантации гематопоэтических стволовых клеток) получали каспофунгин 50 мг один раз в сутки после нагрузочной дозы 70 мг, или липосомальный амфотерицин B 3,0 мг/кг/сутки. Максимальная продолжительность противогрибковой терапии была 28 дней и должна была продолжаться в течении 72 ч после исчезновения признаков нейтропении. Из-за ухудшения клинического состояния и продолжающейся лихорадки после 5 дней лечения увеличили дозу препарата: у 13,3 % пациентов, леченных каспофунгином, до 70 мг/сутки и у 14,3 %, леченных липосомальным амфотерицином B, до 5,0 мг/кг/сутки. </w:t>
      </w:r>
      <w:r w:rsidRPr="00C14086">
        <w:rPr>
          <w:rFonts w:ascii="Times New Roman" w:hAnsi="Times New Roman"/>
          <w:position w:val="-1"/>
          <w:sz w:val="24"/>
          <w:szCs w:val="24"/>
        </w:rPr>
        <w:t>Общий благоприятный ответ (</w:t>
      </w:r>
      <w:r w:rsidRPr="00C14086">
        <w:rPr>
          <w:rFonts w:ascii="Times New Roman" w:hAnsi="Times New Roman"/>
          <w:position w:val="-1"/>
          <w:sz w:val="24"/>
          <w:szCs w:val="24"/>
          <w:lang w:val="en-US"/>
        </w:rPr>
        <w:t>N</w:t>
      </w:r>
      <w:r w:rsidRPr="00C14086">
        <w:rPr>
          <w:rFonts w:ascii="Times New Roman" w:hAnsi="Times New Roman"/>
          <w:position w:val="-1"/>
          <w:sz w:val="24"/>
          <w:szCs w:val="24"/>
        </w:rPr>
        <w:t>=1095) при лечении каспофунгином (33,9 %) был сопоставим с таковым как при лечении липосомальным амфотерицином B (33,7 %) [разница 0,2 % (95,2 % CI –5,6, 6,0)], который также включал</w:t>
      </w:r>
      <w:r w:rsidRPr="00C14086">
        <w:rPr>
          <w:rFonts w:ascii="Times New Roman" w:hAnsi="Times New Roman"/>
          <w:sz w:val="24"/>
          <w:szCs w:val="24"/>
        </w:rPr>
        <w:t xml:space="preserve"> отсутствие отмены исследуемого препарата из-за лекарственной токсичности или отсутствия эффективности (каспофунгин 89,7 % [499/556], липосомальный амфотерицин B 85,5 % [461/539]), разрешение лихорадки во время нейтропении (каспофунгин 41,2 % [229/556], липосомальный амфотерицин B 41,4 % [223/539]). Частота ответа на каспофунгин и липосомальный амфотерицин B для исходных инфекций, вызванных видами </w:t>
      </w:r>
      <w:r w:rsidRPr="00C14086">
        <w:rPr>
          <w:rFonts w:ascii="Times New Roman" w:hAnsi="Times New Roman"/>
          <w:i/>
          <w:sz w:val="24"/>
          <w:szCs w:val="24"/>
        </w:rPr>
        <w:t>Aspergillus</w:t>
      </w:r>
      <w:r w:rsidRPr="00C14086">
        <w:rPr>
          <w:rFonts w:ascii="Times New Roman" w:hAnsi="Times New Roman"/>
          <w:sz w:val="24"/>
          <w:szCs w:val="24"/>
        </w:rPr>
        <w:t xml:space="preserve">, составила, соответственно, 41,7 % (5/12) и 8,3 % (1/12), и вызванных видами </w:t>
      </w:r>
      <w:r w:rsidRPr="00C14086">
        <w:rPr>
          <w:rFonts w:ascii="Times New Roman" w:hAnsi="Times New Roman"/>
          <w:i/>
          <w:sz w:val="24"/>
          <w:szCs w:val="24"/>
        </w:rPr>
        <w:t xml:space="preserve">Candida, </w:t>
      </w:r>
      <w:r w:rsidRPr="00C14086">
        <w:rPr>
          <w:rFonts w:ascii="Times New Roman" w:hAnsi="Times New Roman"/>
          <w:sz w:val="24"/>
          <w:szCs w:val="24"/>
        </w:rPr>
        <w:t>составила 66,7 % (8/12) и 41,7</w:t>
      </w:r>
      <w:r w:rsidRPr="00C14086">
        <w:rPr>
          <w:rFonts w:ascii="Times New Roman" w:hAnsi="Times New Roman"/>
          <w:sz w:val="24"/>
          <w:szCs w:val="24"/>
          <w:lang w:val="en-US"/>
        </w:rPr>
        <w:t> </w:t>
      </w:r>
      <w:r w:rsidRPr="00C14086">
        <w:rPr>
          <w:rFonts w:ascii="Times New Roman" w:hAnsi="Times New Roman"/>
          <w:sz w:val="24"/>
          <w:szCs w:val="24"/>
        </w:rPr>
        <w:t xml:space="preserve">% (5/12). Пациенты в группе каспофунгина подверглись заражению новыми инфекциями, вызванными следующими редкими видами грибков: </w:t>
      </w:r>
      <w:r w:rsidRPr="00C14086">
        <w:rPr>
          <w:rFonts w:ascii="Times New Roman" w:hAnsi="Times New Roman"/>
          <w:i/>
          <w:sz w:val="24"/>
          <w:szCs w:val="24"/>
        </w:rPr>
        <w:t xml:space="preserve">Trichosporon </w:t>
      </w:r>
      <w:r w:rsidRPr="00C14086">
        <w:rPr>
          <w:rFonts w:ascii="Times New Roman" w:hAnsi="Times New Roman"/>
          <w:sz w:val="24"/>
          <w:szCs w:val="24"/>
        </w:rPr>
        <w:t xml:space="preserve">(1), </w:t>
      </w:r>
      <w:r w:rsidRPr="00C14086">
        <w:rPr>
          <w:rFonts w:ascii="Times New Roman" w:hAnsi="Times New Roman"/>
          <w:i/>
          <w:sz w:val="24"/>
          <w:szCs w:val="24"/>
        </w:rPr>
        <w:t xml:space="preserve">Fusarium </w:t>
      </w:r>
      <w:r w:rsidRPr="00C14086">
        <w:rPr>
          <w:rFonts w:ascii="Times New Roman" w:hAnsi="Times New Roman"/>
          <w:sz w:val="24"/>
          <w:szCs w:val="24"/>
        </w:rPr>
        <w:t xml:space="preserve">(1), </w:t>
      </w:r>
      <w:r w:rsidRPr="00C14086">
        <w:rPr>
          <w:rFonts w:ascii="Times New Roman" w:hAnsi="Times New Roman"/>
          <w:i/>
          <w:sz w:val="24"/>
          <w:szCs w:val="24"/>
        </w:rPr>
        <w:t xml:space="preserve">Mucor </w:t>
      </w:r>
      <w:r w:rsidRPr="00C14086">
        <w:rPr>
          <w:rFonts w:ascii="Times New Roman" w:hAnsi="Times New Roman"/>
          <w:sz w:val="24"/>
          <w:szCs w:val="24"/>
        </w:rPr>
        <w:t xml:space="preserve">(1) и </w:t>
      </w:r>
      <w:r w:rsidRPr="00C14086">
        <w:rPr>
          <w:rFonts w:ascii="Times New Roman" w:hAnsi="Times New Roman"/>
          <w:i/>
          <w:sz w:val="24"/>
          <w:szCs w:val="24"/>
        </w:rPr>
        <w:t xml:space="preserve">Rhizopus </w:t>
      </w:r>
      <w:r w:rsidRPr="00C14086">
        <w:rPr>
          <w:rFonts w:ascii="Times New Roman" w:hAnsi="Times New Roman"/>
          <w:sz w:val="24"/>
          <w:szCs w:val="24"/>
        </w:rPr>
        <w:t>(1).</w:t>
      </w:r>
    </w:p>
    <w:p w14:paraId="5BCDE8CE" w14:textId="77777777" w:rsidR="00C14086" w:rsidRPr="00C14086" w:rsidRDefault="00C14086" w:rsidP="00C14086">
      <w:pPr>
        <w:spacing w:after="0" w:line="20" w:lineRule="atLeast"/>
        <w:ind w:right="-20"/>
        <w:jc w:val="both"/>
        <w:rPr>
          <w:rFonts w:ascii="Times New Roman" w:hAnsi="Times New Roman"/>
          <w:i/>
          <w:sz w:val="24"/>
          <w:szCs w:val="24"/>
        </w:rPr>
      </w:pPr>
      <w:r w:rsidRPr="00C14086">
        <w:rPr>
          <w:rFonts w:ascii="Times New Roman" w:hAnsi="Times New Roman"/>
          <w:i/>
          <w:sz w:val="24"/>
          <w:szCs w:val="24"/>
        </w:rPr>
        <w:t>Дети</w:t>
      </w:r>
    </w:p>
    <w:p w14:paraId="05690613" w14:textId="77777777" w:rsidR="00C14086" w:rsidRPr="00C14086" w:rsidRDefault="00C14086" w:rsidP="00C14086">
      <w:pPr>
        <w:spacing w:after="0" w:line="20" w:lineRule="atLeast"/>
        <w:ind w:right="-20"/>
        <w:jc w:val="both"/>
        <w:rPr>
          <w:rFonts w:ascii="Times New Roman" w:hAnsi="Times New Roman"/>
          <w:sz w:val="24"/>
          <w:szCs w:val="24"/>
        </w:rPr>
      </w:pPr>
      <w:r w:rsidRPr="00C14086">
        <w:rPr>
          <w:rFonts w:ascii="Times New Roman" w:hAnsi="Times New Roman"/>
          <w:sz w:val="24"/>
          <w:szCs w:val="24"/>
        </w:rPr>
        <w:t xml:space="preserve">Безопасность и эффективность каспофунгина оценивались у детей в возрасте от 3 месяцев до 17 лет в двух проспективных, многоцентровых исследованиях. </w:t>
      </w:r>
    </w:p>
    <w:p w14:paraId="291AB536" w14:textId="77777777" w:rsidR="00C14086" w:rsidRPr="00C14086" w:rsidRDefault="00C14086" w:rsidP="00C14086">
      <w:pPr>
        <w:spacing w:after="0" w:line="20" w:lineRule="atLeast"/>
        <w:ind w:right="-20"/>
        <w:jc w:val="both"/>
        <w:rPr>
          <w:rFonts w:ascii="Times New Roman" w:hAnsi="Times New Roman"/>
          <w:sz w:val="24"/>
          <w:szCs w:val="24"/>
        </w:rPr>
      </w:pPr>
      <w:r w:rsidRPr="00C14086">
        <w:rPr>
          <w:rFonts w:ascii="Times New Roman" w:hAnsi="Times New Roman"/>
          <w:sz w:val="24"/>
          <w:szCs w:val="24"/>
        </w:rPr>
        <w:t>В первом рандомизированном, двойном слепом исследовании с участием 82 пациентов в возрасте от 2 до 17 лет сравнивали каспофунгин (внутривенно (в/в) 50 мг/м</w:t>
      </w:r>
      <w:r w:rsidRPr="00C14086">
        <w:rPr>
          <w:rFonts w:ascii="Times New Roman" w:hAnsi="Times New Roman"/>
          <w:sz w:val="24"/>
          <w:szCs w:val="24"/>
          <w:vertAlign w:val="superscript"/>
        </w:rPr>
        <w:t>2</w:t>
      </w:r>
      <w:r w:rsidRPr="00C14086">
        <w:rPr>
          <w:rFonts w:ascii="Times New Roman" w:hAnsi="Times New Roman"/>
          <w:sz w:val="24"/>
          <w:szCs w:val="24"/>
        </w:rPr>
        <w:t>/сут. после нагрузочной дозы 70 мг/м</w:t>
      </w:r>
      <w:r w:rsidRPr="00C14086">
        <w:rPr>
          <w:rFonts w:ascii="Times New Roman" w:hAnsi="Times New Roman"/>
          <w:sz w:val="24"/>
          <w:szCs w:val="24"/>
          <w:vertAlign w:val="superscript"/>
        </w:rPr>
        <w:t>2</w:t>
      </w:r>
      <w:r w:rsidRPr="00C14086">
        <w:rPr>
          <w:rFonts w:ascii="Times New Roman" w:hAnsi="Times New Roman"/>
          <w:sz w:val="24"/>
          <w:szCs w:val="24"/>
        </w:rPr>
        <w:t xml:space="preserve"> в 1</w:t>
      </w:r>
      <w:r w:rsidRPr="00C14086">
        <w:rPr>
          <w:rFonts w:ascii="Times New Roman" w:hAnsi="Times New Roman"/>
          <w:sz w:val="24"/>
          <w:szCs w:val="24"/>
          <w:vertAlign w:val="superscript"/>
        </w:rPr>
        <w:t>ый</w:t>
      </w:r>
      <w:r w:rsidRPr="00C14086">
        <w:rPr>
          <w:rFonts w:ascii="Times New Roman" w:hAnsi="Times New Roman"/>
          <w:sz w:val="24"/>
          <w:szCs w:val="24"/>
        </w:rPr>
        <w:t xml:space="preserve"> день) с липосомальным амфотерицином B (в/в 3 мг/кг/сут.) в схеме лечения 2:1 (56 пациентов получали каспофунгин, 26 - липосомальный амфотерицин B) в качестве эмпирической терапии у детей с персистирующей лихорадкой и нейтропенией. Общая частота благоприятного ответа составила 46,6 % (26/56) для каспофунгина и 32,2 % (8/25) для липосомального амфотерицина B.</w:t>
      </w:r>
    </w:p>
    <w:p w14:paraId="00A695D6" w14:textId="77777777" w:rsidR="00C14086" w:rsidRDefault="00C14086" w:rsidP="00C14086">
      <w:pPr>
        <w:spacing w:after="0" w:line="20" w:lineRule="atLeast"/>
        <w:ind w:right="-20"/>
        <w:jc w:val="both"/>
        <w:rPr>
          <w:rFonts w:ascii="Times New Roman" w:hAnsi="Times New Roman"/>
          <w:sz w:val="24"/>
          <w:szCs w:val="24"/>
        </w:rPr>
      </w:pPr>
      <w:r w:rsidRPr="00C14086">
        <w:rPr>
          <w:rFonts w:ascii="Times New Roman" w:hAnsi="Times New Roman"/>
          <w:sz w:val="24"/>
          <w:szCs w:val="24"/>
        </w:rPr>
        <w:t>Во втором проспективном, открытом, несравнительном исследовании оценивались безопасность и эффективность каспофунгина (в качестве резервной терапии) у 48 детей (от 6 месяцев до 17 лет) с инвазивным кандидозом (</w:t>
      </w:r>
      <w:r w:rsidRPr="00C14086">
        <w:rPr>
          <w:rFonts w:ascii="Times New Roman" w:hAnsi="Times New Roman"/>
          <w:sz w:val="24"/>
          <w:szCs w:val="24"/>
          <w:lang w:val="en-US"/>
        </w:rPr>
        <w:t>N</w:t>
      </w:r>
      <w:r w:rsidRPr="00C14086">
        <w:rPr>
          <w:rFonts w:ascii="Times New Roman" w:hAnsi="Times New Roman"/>
          <w:sz w:val="24"/>
          <w:szCs w:val="24"/>
        </w:rPr>
        <w:t>=37), эзофагеальным кандидозом (N=1) и инвазивным аспергиллезом (N=10). Каспофунгин вводили в/в по 50 мг/м</w:t>
      </w:r>
      <w:r w:rsidRPr="00C14086">
        <w:rPr>
          <w:rFonts w:ascii="Times New Roman" w:hAnsi="Times New Roman"/>
          <w:sz w:val="24"/>
          <w:szCs w:val="24"/>
          <w:vertAlign w:val="superscript"/>
        </w:rPr>
        <w:t>2</w:t>
      </w:r>
      <w:r w:rsidRPr="00C14086">
        <w:rPr>
          <w:rFonts w:ascii="Times New Roman" w:hAnsi="Times New Roman"/>
          <w:sz w:val="24"/>
          <w:szCs w:val="24"/>
        </w:rPr>
        <w:t xml:space="preserve"> один раз в сутки после нагрузочной дозы в 70 мг/м</w:t>
      </w:r>
      <w:r w:rsidRPr="00C14086">
        <w:rPr>
          <w:rFonts w:ascii="Times New Roman" w:hAnsi="Times New Roman"/>
          <w:sz w:val="24"/>
          <w:szCs w:val="24"/>
          <w:vertAlign w:val="superscript"/>
        </w:rPr>
        <w:t>2</w:t>
      </w:r>
      <w:r w:rsidRPr="00C14086">
        <w:rPr>
          <w:rFonts w:ascii="Times New Roman" w:hAnsi="Times New Roman"/>
          <w:sz w:val="24"/>
          <w:szCs w:val="24"/>
        </w:rPr>
        <w:t xml:space="preserve"> в 1</w:t>
      </w:r>
      <w:r w:rsidRPr="00C14086">
        <w:rPr>
          <w:rFonts w:ascii="Times New Roman" w:hAnsi="Times New Roman"/>
          <w:sz w:val="24"/>
          <w:szCs w:val="24"/>
          <w:vertAlign w:val="superscript"/>
        </w:rPr>
        <w:t>ый</w:t>
      </w:r>
      <w:r w:rsidRPr="00C14086">
        <w:rPr>
          <w:rFonts w:ascii="Times New Roman" w:hAnsi="Times New Roman"/>
          <w:sz w:val="24"/>
          <w:szCs w:val="24"/>
        </w:rPr>
        <w:t xml:space="preserve"> день (не превышая 70 мг в сутки). Частота благоприятного ответа в конце лечения каспофунгином была следующая: 81 % (30/37) при инвазивном кандидозе, 50 % (5/10) при инвазивном аспергиллезе и 100 % (1/1) при эзофагеальном кандидозе.</w:t>
      </w:r>
    </w:p>
    <w:p w14:paraId="11CEF595" w14:textId="77777777" w:rsidR="00C14086" w:rsidRDefault="00C14086" w:rsidP="00C14086">
      <w:pPr>
        <w:spacing w:after="0" w:line="20" w:lineRule="atLeast"/>
        <w:ind w:right="-20"/>
        <w:jc w:val="both"/>
        <w:rPr>
          <w:rFonts w:ascii="Times New Roman" w:hAnsi="Times New Roman"/>
          <w:sz w:val="24"/>
          <w:szCs w:val="24"/>
        </w:rPr>
      </w:pPr>
      <w:r w:rsidRPr="00E70B85">
        <w:rPr>
          <w:rFonts w:ascii="Times New Roman" w:hAnsi="Times New Roman"/>
          <w:sz w:val="24"/>
          <w:szCs w:val="24"/>
        </w:rPr>
        <w:lastRenderedPageBreak/>
        <w:t>В двойном слепом рандомизированном (2:1)</w:t>
      </w:r>
      <w:r w:rsidR="00006937" w:rsidRPr="00E70B85">
        <w:rPr>
          <w:rFonts w:ascii="Times New Roman" w:hAnsi="Times New Roman"/>
          <w:sz w:val="24"/>
          <w:szCs w:val="24"/>
        </w:rPr>
        <w:t xml:space="preserve"> компараторо-контролируемом</w:t>
      </w:r>
      <w:r w:rsidRPr="00E70B85">
        <w:rPr>
          <w:rFonts w:ascii="Times New Roman" w:hAnsi="Times New Roman"/>
          <w:sz w:val="24"/>
          <w:szCs w:val="24"/>
        </w:rPr>
        <w:t xml:space="preserve"> исследовании оценивалась безопасность, переносимость и эффективность каспофунгина (2 мг/кг/</w:t>
      </w:r>
      <w:r w:rsidR="006E7251" w:rsidRPr="00E70B85">
        <w:rPr>
          <w:rFonts w:ascii="Times New Roman" w:hAnsi="Times New Roman"/>
          <w:sz w:val="24"/>
          <w:szCs w:val="24"/>
        </w:rPr>
        <w:t>сутки</w:t>
      </w:r>
      <w:r w:rsidRPr="00E70B85">
        <w:rPr>
          <w:rFonts w:ascii="Times New Roman" w:hAnsi="Times New Roman"/>
          <w:sz w:val="24"/>
          <w:szCs w:val="24"/>
        </w:rPr>
        <w:t xml:space="preserve"> внутривенно, инфузия в течение 2 часов) </w:t>
      </w:r>
      <w:r w:rsidR="009E1254" w:rsidRPr="00E70B85">
        <w:rPr>
          <w:rFonts w:ascii="Times New Roman" w:hAnsi="Times New Roman"/>
          <w:sz w:val="24"/>
          <w:szCs w:val="24"/>
        </w:rPr>
        <w:t>в</w:t>
      </w:r>
      <w:r w:rsidRPr="00E70B85">
        <w:rPr>
          <w:rFonts w:ascii="Times New Roman" w:hAnsi="Times New Roman"/>
          <w:sz w:val="24"/>
          <w:szCs w:val="24"/>
        </w:rPr>
        <w:t xml:space="preserve"> сравнени</w:t>
      </w:r>
      <w:r w:rsidR="009E1254" w:rsidRPr="00E70B85">
        <w:rPr>
          <w:rFonts w:ascii="Times New Roman" w:hAnsi="Times New Roman"/>
          <w:sz w:val="24"/>
          <w:szCs w:val="24"/>
        </w:rPr>
        <w:t>и</w:t>
      </w:r>
      <w:r w:rsidRPr="00E70B85">
        <w:rPr>
          <w:rFonts w:ascii="Times New Roman" w:hAnsi="Times New Roman"/>
          <w:sz w:val="24"/>
          <w:szCs w:val="24"/>
        </w:rPr>
        <w:t xml:space="preserve"> с дезоксихолатом амфотерицина B (1 мг/кг/</w:t>
      </w:r>
      <w:r w:rsidR="006E7251" w:rsidRPr="00E70B85">
        <w:rPr>
          <w:rFonts w:ascii="Times New Roman" w:hAnsi="Times New Roman"/>
          <w:sz w:val="24"/>
          <w:szCs w:val="24"/>
        </w:rPr>
        <w:t>сутки</w:t>
      </w:r>
      <w:r w:rsidRPr="00E70B85">
        <w:rPr>
          <w:rFonts w:ascii="Times New Roman" w:hAnsi="Times New Roman"/>
          <w:sz w:val="24"/>
          <w:szCs w:val="24"/>
        </w:rPr>
        <w:t>)</w:t>
      </w:r>
      <w:r w:rsidR="009E1254" w:rsidRPr="00E70B85">
        <w:rPr>
          <w:rFonts w:ascii="Times New Roman" w:hAnsi="Times New Roman"/>
          <w:sz w:val="24"/>
          <w:szCs w:val="24"/>
        </w:rPr>
        <w:t xml:space="preserve"> </w:t>
      </w:r>
      <w:r w:rsidRPr="00E70B85">
        <w:rPr>
          <w:rFonts w:ascii="Times New Roman" w:hAnsi="Times New Roman"/>
          <w:sz w:val="24"/>
          <w:szCs w:val="24"/>
        </w:rPr>
        <w:t xml:space="preserve">у новорожденных и младенцев в возрасте до 3 месяцев с инвазивным кандидозом (подтвержденным посевом). Из-за небольшой численности исследование было прекращено досрочно, и был рандомизирован только 51 пациент. Доля пациентов с безгрибковой выживаемостью через 2 недели после терапии в группе лечения каспофунгином (71,0%) была аналогична таковой в группе лечения дезоксихолатом амфотерицина B (68,8%). </w:t>
      </w:r>
      <w:r w:rsidR="001644ED">
        <w:rPr>
          <w:rFonts w:ascii="Times New Roman" w:hAnsi="Times New Roman"/>
          <w:sz w:val="24"/>
          <w:szCs w:val="24"/>
        </w:rPr>
        <w:t xml:space="preserve">В связи с этим </w:t>
      </w:r>
      <w:r w:rsidR="009E1254" w:rsidRPr="00E70B85">
        <w:rPr>
          <w:rFonts w:ascii="Times New Roman" w:hAnsi="Times New Roman"/>
          <w:sz w:val="24"/>
          <w:szCs w:val="24"/>
        </w:rPr>
        <w:t>не</w:t>
      </w:r>
      <w:r w:rsidR="001644ED">
        <w:rPr>
          <w:rFonts w:ascii="Times New Roman" w:hAnsi="Times New Roman"/>
          <w:sz w:val="24"/>
          <w:szCs w:val="24"/>
        </w:rPr>
        <w:t>т возможности</w:t>
      </w:r>
      <w:r w:rsidR="009E1254" w:rsidRPr="00E70B85">
        <w:rPr>
          <w:rFonts w:ascii="Times New Roman" w:hAnsi="Times New Roman"/>
          <w:sz w:val="24"/>
          <w:szCs w:val="24"/>
        </w:rPr>
        <w:t xml:space="preserve"> дать </w:t>
      </w:r>
      <w:r w:rsidRPr="00E70B85">
        <w:rPr>
          <w:rFonts w:ascii="Times New Roman" w:hAnsi="Times New Roman"/>
          <w:sz w:val="24"/>
          <w:szCs w:val="24"/>
        </w:rPr>
        <w:t>рекомендаци</w:t>
      </w:r>
      <w:r w:rsidR="001644ED">
        <w:rPr>
          <w:rFonts w:ascii="Times New Roman" w:hAnsi="Times New Roman"/>
          <w:sz w:val="24"/>
          <w:szCs w:val="24"/>
        </w:rPr>
        <w:t>и</w:t>
      </w:r>
      <w:r w:rsidRPr="00E70B85">
        <w:rPr>
          <w:rFonts w:ascii="Times New Roman" w:hAnsi="Times New Roman"/>
          <w:sz w:val="24"/>
          <w:szCs w:val="24"/>
        </w:rPr>
        <w:t xml:space="preserve"> по дозировке </w:t>
      </w:r>
      <w:r w:rsidR="009E1254" w:rsidRPr="00E70B85">
        <w:rPr>
          <w:rFonts w:ascii="Times New Roman" w:hAnsi="Times New Roman"/>
          <w:sz w:val="24"/>
          <w:szCs w:val="24"/>
        </w:rPr>
        <w:t>у</w:t>
      </w:r>
      <w:r w:rsidRPr="00E70B85">
        <w:rPr>
          <w:rFonts w:ascii="Times New Roman" w:hAnsi="Times New Roman"/>
          <w:sz w:val="24"/>
          <w:szCs w:val="24"/>
        </w:rPr>
        <w:t xml:space="preserve"> новорожденных и младенцев</w:t>
      </w:r>
      <w:r w:rsidR="001644ED">
        <w:rPr>
          <w:rFonts w:ascii="Times New Roman" w:hAnsi="Times New Roman"/>
          <w:sz w:val="24"/>
          <w:szCs w:val="24"/>
        </w:rPr>
        <w:t xml:space="preserve"> в рамках проведенного исследования</w:t>
      </w:r>
      <w:r w:rsidRPr="00E70B85">
        <w:rPr>
          <w:rFonts w:ascii="Times New Roman" w:hAnsi="Times New Roman"/>
          <w:sz w:val="24"/>
          <w:szCs w:val="24"/>
        </w:rPr>
        <w:t>.</w:t>
      </w:r>
    </w:p>
    <w:p w14:paraId="4BB00981" w14:textId="77777777" w:rsidR="00C14086" w:rsidRPr="00C14086" w:rsidRDefault="00C14086" w:rsidP="00C14086">
      <w:pPr>
        <w:spacing w:after="0" w:line="20" w:lineRule="atLeast"/>
        <w:ind w:right="-20"/>
        <w:jc w:val="both"/>
        <w:rPr>
          <w:rFonts w:ascii="Times New Roman" w:hAnsi="Times New Roman"/>
          <w:sz w:val="24"/>
          <w:szCs w:val="24"/>
        </w:rPr>
      </w:pPr>
    </w:p>
    <w:p w14:paraId="3B697DEE" w14:textId="77777777" w:rsidR="00C153F2" w:rsidRPr="00EE5F5F"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EE5F5F">
        <w:rPr>
          <w:rFonts w:ascii="Times New Roman" w:hAnsi="Times New Roman"/>
          <w:b/>
          <w:sz w:val="24"/>
          <w:szCs w:val="24"/>
          <w:lang w:eastAsia="ru-RU"/>
        </w:rPr>
        <w:t xml:space="preserve">5.2 </w:t>
      </w:r>
      <w:r w:rsidR="00DD5E3A" w:rsidRPr="00EE5F5F">
        <w:rPr>
          <w:rFonts w:ascii="Times New Roman" w:eastAsia="TimesNewRomanPSMT" w:hAnsi="Times New Roman"/>
          <w:b/>
          <w:sz w:val="24"/>
          <w:szCs w:val="24"/>
          <w:lang w:eastAsia="ru-RU"/>
        </w:rPr>
        <w:t>Фармакокинетические свойства</w:t>
      </w:r>
    </w:p>
    <w:p w14:paraId="5910F05F" w14:textId="77777777" w:rsidR="00984D06" w:rsidRPr="00984D06" w:rsidRDefault="00984D06" w:rsidP="00984D06">
      <w:pPr>
        <w:spacing w:after="0" w:line="20" w:lineRule="atLeast"/>
        <w:jc w:val="both"/>
        <w:rPr>
          <w:rFonts w:ascii="Times New Roman" w:hAnsi="Times New Roman"/>
          <w:sz w:val="24"/>
          <w:szCs w:val="24"/>
        </w:rPr>
      </w:pPr>
      <w:r w:rsidRPr="00984D06">
        <w:rPr>
          <w:rFonts w:ascii="Times New Roman" w:hAnsi="Times New Roman"/>
          <w:i/>
          <w:sz w:val="24"/>
          <w:szCs w:val="24"/>
        </w:rPr>
        <w:t>Распределение</w:t>
      </w:r>
    </w:p>
    <w:p w14:paraId="79E24F57" w14:textId="77777777" w:rsidR="00984D06" w:rsidRPr="00984D06" w:rsidRDefault="00984D06" w:rsidP="00984D06">
      <w:pPr>
        <w:shd w:val="clear" w:color="auto" w:fill="FFFFFF"/>
        <w:spacing w:after="0" w:line="20" w:lineRule="atLeast"/>
        <w:jc w:val="both"/>
        <w:rPr>
          <w:rFonts w:ascii="Times New Roman" w:hAnsi="Times New Roman"/>
          <w:sz w:val="24"/>
          <w:szCs w:val="24"/>
        </w:rPr>
      </w:pPr>
      <w:r w:rsidRPr="00984D06">
        <w:rPr>
          <w:rFonts w:ascii="Times New Roman" w:hAnsi="Times New Roman"/>
          <w:sz w:val="24"/>
          <w:szCs w:val="24"/>
        </w:rPr>
        <w:t>Каспофунгин активно связывается с альбумином. Несвязанная фракция каспофунгина в плазме крови колеблется от 3,5 % у здоровых добровольцев до 7,6 % у пациентов с инвазивным кандидозом. Распределение играет значительную роль в фармакокинетике каспофунгина в плазме и является этапом управления скоростью в обеих фазах альфа- и бета-диспозиций. Распределение в тканях достигало максимума через 1,5-2 дня после введения дозы, 92 % которой было распределено в тканях. Вероятно лишь небольшая часть каспофунгина, распределенного в тканях, позже возвращается в плазму в виде исходного соединения. Поэтому выведение происходит без равновесного распределения, и истинной оценки объема распределения каспофунгина в настоящее время невозможно получить.</w:t>
      </w:r>
    </w:p>
    <w:p w14:paraId="7A0AACD8" w14:textId="77777777" w:rsidR="00984D06" w:rsidRPr="00984D06" w:rsidRDefault="00984D06" w:rsidP="00984D06">
      <w:pPr>
        <w:spacing w:after="0" w:line="20" w:lineRule="atLeast"/>
        <w:jc w:val="both"/>
        <w:rPr>
          <w:rFonts w:ascii="Times New Roman" w:hAnsi="Times New Roman"/>
          <w:i/>
          <w:sz w:val="24"/>
          <w:szCs w:val="24"/>
        </w:rPr>
      </w:pPr>
      <w:r w:rsidRPr="00984D06">
        <w:rPr>
          <w:rFonts w:ascii="Times New Roman" w:hAnsi="Times New Roman"/>
          <w:i/>
          <w:sz w:val="24"/>
          <w:szCs w:val="24"/>
        </w:rPr>
        <w:t>Биотрансформация</w:t>
      </w:r>
    </w:p>
    <w:p w14:paraId="0695DE92" w14:textId="77777777" w:rsidR="00984D06" w:rsidRPr="00984D06" w:rsidRDefault="00984D06" w:rsidP="00984D06">
      <w:pPr>
        <w:spacing w:after="0" w:line="20" w:lineRule="atLeast"/>
        <w:jc w:val="both"/>
        <w:rPr>
          <w:rFonts w:ascii="Times New Roman" w:hAnsi="Times New Roman"/>
          <w:sz w:val="24"/>
          <w:szCs w:val="24"/>
        </w:rPr>
      </w:pPr>
      <w:r w:rsidRPr="00984D06">
        <w:rPr>
          <w:rFonts w:ascii="Times New Roman" w:hAnsi="Times New Roman"/>
          <w:sz w:val="24"/>
          <w:szCs w:val="24"/>
        </w:rPr>
        <w:t xml:space="preserve">Каспофунгин подвергается спонтанной деградации до открытого кольцевого соединения.  Дальнейший метаболизм включает пептидный гидролиз и N-ацетилирование. Два промежуточных продукта, образующихся при деградации каспофунгина до данного соединения с открытым кольцом, образуют ковалентные аддукты (или продукты присоединения) с белками плазмы, приводя к низкоуровнемому, необратимому связыванию с белками плазмы. </w:t>
      </w:r>
    </w:p>
    <w:p w14:paraId="3E884382" w14:textId="77777777" w:rsidR="00984D06" w:rsidRPr="00984D06" w:rsidRDefault="00984D06" w:rsidP="00984D06">
      <w:pPr>
        <w:spacing w:after="0" w:line="20" w:lineRule="atLeast"/>
        <w:jc w:val="both"/>
        <w:rPr>
          <w:rFonts w:ascii="Times New Roman" w:hAnsi="Times New Roman"/>
          <w:sz w:val="24"/>
          <w:szCs w:val="24"/>
        </w:rPr>
      </w:pPr>
      <w:r w:rsidRPr="00984D06">
        <w:rPr>
          <w:rFonts w:ascii="Times New Roman" w:hAnsi="Times New Roman"/>
          <w:sz w:val="24"/>
          <w:szCs w:val="24"/>
        </w:rPr>
        <w:t xml:space="preserve">Исследования </w:t>
      </w:r>
      <w:r w:rsidRPr="00984D06">
        <w:rPr>
          <w:rFonts w:ascii="Times New Roman" w:hAnsi="Times New Roman"/>
          <w:i/>
          <w:sz w:val="24"/>
          <w:szCs w:val="24"/>
        </w:rPr>
        <w:t xml:space="preserve">in vitro </w:t>
      </w:r>
      <w:r w:rsidRPr="00984D06">
        <w:rPr>
          <w:rFonts w:ascii="Times New Roman" w:hAnsi="Times New Roman"/>
          <w:sz w:val="24"/>
          <w:szCs w:val="24"/>
        </w:rPr>
        <w:t>показывают, что каспофунгин не является ингибитором ферментов 1A2, 2A6, 2C9, 2C19, 2D6 или 3A4 цитохрома P450. В клинических исследованиях, каспофунгин не индуцировал и не ингибировал метаболизм CYP3A4 других лекарственных препаратов. Каспофунгин не является субстратом для P-гликопротеина и является слабым субстратом для ферментов цитохрома-P450.</w:t>
      </w:r>
    </w:p>
    <w:p w14:paraId="0C929C1C" w14:textId="77777777" w:rsidR="00984D06" w:rsidRPr="00984D06" w:rsidRDefault="00984D06" w:rsidP="00984D06">
      <w:pPr>
        <w:spacing w:after="0" w:line="20" w:lineRule="atLeast"/>
        <w:jc w:val="both"/>
        <w:rPr>
          <w:rFonts w:ascii="Times New Roman" w:hAnsi="Times New Roman"/>
          <w:i/>
          <w:sz w:val="24"/>
          <w:szCs w:val="24"/>
        </w:rPr>
      </w:pPr>
      <w:r w:rsidRPr="00984D06">
        <w:rPr>
          <w:rFonts w:ascii="Times New Roman" w:hAnsi="Times New Roman"/>
          <w:i/>
          <w:sz w:val="24"/>
          <w:szCs w:val="24"/>
        </w:rPr>
        <w:t>Выведение</w:t>
      </w:r>
    </w:p>
    <w:p w14:paraId="6F7B9564" w14:textId="77777777" w:rsidR="00984D06" w:rsidRPr="00984D06" w:rsidRDefault="00984D06" w:rsidP="00984D06">
      <w:pPr>
        <w:spacing w:after="0" w:line="20" w:lineRule="atLeast"/>
        <w:jc w:val="both"/>
        <w:rPr>
          <w:rFonts w:ascii="Times New Roman" w:hAnsi="Times New Roman"/>
          <w:sz w:val="24"/>
          <w:szCs w:val="24"/>
        </w:rPr>
      </w:pPr>
      <w:r w:rsidRPr="00984D06">
        <w:rPr>
          <w:rFonts w:ascii="Times New Roman" w:hAnsi="Times New Roman"/>
          <w:sz w:val="24"/>
          <w:szCs w:val="24"/>
        </w:rPr>
        <w:t>Выведение каспофунгина из плазмы происходит медленно c клиренсом 10-12 мл/мин. Плазменные концентрации каспофунгина снижаются полифазно после однократных внутривенных инфузий в течение 1 часа. Короткая альфа-фаза имеет место сразу после инфузии, за ней следует бета-фаза с периодом полувыведения от 9 до 11 часов. Также появляется дополнительная гамма-фаза с периодом полувыведения 45 часов. Распределение, а не экскреция или биотрансформация, является доминирующим механизмом, влияющим на плазменный клиренс.</w:t>
      </w:r>
    </w:p>
    <w:p w14:paraId="731F1882" w14:textId="77777777" w:rsidR="00984D06" w:rsidRPr="00984D06" w:rsidRDefault="00984D06" w:rsidP="00984D06">
      <w:pPr>
        <w:spacing w:after="0" w:line="20" w:lineRule="atLeast"/>
        <w:jc w:val="both"/>
        <w:rPr>
          <w:rFonts w:ascii="Times New Roman" w:hAnsi="Times New Roman"/>
          <w:sz w:val="24"/>
          <w:szCs w:val="24"/>
        </w:rPr>
      </w:pPr>
      <w:r w:rsidRPr="00984D06">
        <w:rPr>
          <w:rFonts w:ascii="Times New Roman" w:hAnsi="Times New Roman"/>
          <w:sz w:val="24"/>
          <w:szCs w:val="24"/>
        </w:rPr>
        <w:t>Приблизительно 75 % дозы радиоактивно меченного препарата восстанавливалось в течение 27 дней: 41 % в моче и 34 % в кале. В течение первых 30 часов после введения экскреция или биотрансформация каспофунгина небольшая. Экскреция происходит медленно, и конечный период полувыведения препарата с радиоактивностью составил от 12 до 15 дней. Небольшое количество каспофунгина выделяется в неизмененном виде с мочой (приблизительно 1,4 % дозы).</w:t>
      </w:r>
    </w:p>
    <w:p w14:paraId="0AFC24BF" w14:textId="77777777" w:rsidR="00984D06" w:rsidRPr="00984D06" w:rsidRDefault="00984D06" w:rsidP="00984D06">
      <w:pPr>
        <w:shd w:val="clear" w:color="auto" w:fill="FFFFFF"/>
        <w:spacing w:after="0" w:line="20" w:lineRule="atLeast"/>
        <w:jc w:val="both"/>
        <w:rPr>
          <w:rFonts w:ascii="Times New Roman" w:hAnsi="Times New Roman"/>
          <w:sz w:val="24"/>
          <w:szCs w:val="24"/>
        </w:rPr>
      </w:pPr>
      <w:r w:rsidRPr="00984D06">
        <w:rPr>
          <w:rFonts w:ascii="Times New Roman" w:hAnsi="Times New Roman"/>
          <w:sz w:val="24"/>
          <w:szCs w:val="24"/>
        </w:rPr>
        <w:lastRenderedPageBreak/>
        <w:t>Каспофунгин демонстрирует умеренную нелинейную фармакокинетику с повышенным накоплением при увеличении дозы, и зависимость дозы от времени для достижения стабильного состояния при введении многократной дозы.</w:t>
      </w:r>
    </w:p>
    <w:p w14:paraId="061A6E0F" w14:textId="77777777" w:rsidR="00984D06" w:rsidRPr="00984D06" w:rsidRDefault="00984D06" w:rsidP="00984D06">
      <w:pPr>
        <w:spacing w:after="0" w:line="20" w:lineRule="atLeast"/>
        <w:jc w:val="both"/>
        <w:rPr>
          <w:rFonts w:ascii="Times New Roman" w:hAnsi="Times New Roman"/>
          <w:i/>
          <w:sz w:val="24"/>
          <w:szCs w:val="24"/>
        </w:rPr>
      </w:pPr>
      <w:r w:rsidRPr="00984D06">
        <w:rPr>
          <w:rFonts w:ascii="Times New Roman" w:hAnsi="Times New Roman"/>
          <w:bCs/>
          <w:i/>
          <w:iCs/>
          <w:sz w:val="24"/>
          <w:szCs w:val="24"/>
        </w:rPr>
        <w:t>Отдельные группы пациентов</w:t>
      </w:r>
      <w:r w:rsidRPr="00984D06">
        <w:rPr>
          <w:rFonts w:ascii="Times New Roman" w:hAnsi="Times New Roman"/>
          <w:i/>
          <w:sz w:val="24"/>
          <w:szCs w:val="24"/>
        </w:rPr>
        <w:t xml:space="preserve"> </w:t>
      </w:r>
    </w:p>
    <w:p w14:paraId="3EFCF18B"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sz w:val="24"/>
          <w:szCs w:val="24"/>
        </w:rPr>
        <w:t>Повышенная экспозиция каспофунгина наблюдалась у взрослых пациентов с почечной недостаточностью и печеночной недостаточностью легкой степени тяжести, у женщин и пожилых. Обычно повышение было умеренным и не достаточно большим и не требовало коррекции дозы. У взрослых пациентов с печеночной недостаточностью средней тяжести или у пациентов с более высоким весом может потребоваться коррекция дозы (см. ниже).</w:t>
      </w:r>
    </w:p>
    <w:p w14:paraId="08CB2EE7"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i/>
          <w:sz w:val="24"/>
          <w:szCs w:val="24"/>
        </w:rPr>
        <w:t>Вес</w:t>
      </w:r>
      <w:r w:rsidRPr="00984D06">
        <w:rPr>
          <w:rFonts w:ascii="Times New Roman" w:hAnsi="Times New Roman"/>
          <w:sz w:val="24"/>
          <w:szCs w:val="24"/>
        </w:rPr>
        <w:t>: в популяционном фармакокинетическом анализе у взрослых пациентов с кандидозом было установлено, что вес влияет на фармакокинетику каспофунгина. Плазменные концентрации снижаются с увеличением веса. Предполагалось, что средняя экспозиция у взрослого пациента массой 80 кг будет примерно на 23% ниже, чем у взрослого пациента весом 60 кг (см. Способ применения и дозы).</w:t>
      </w:r>
    </w:p>
    <w:p w14:paraId="75D2F961"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i/>
          <w:sz w:val="24"/>
          <w:szCs w:val="24"/>
        </w:rPr>
        <w:t>Печеночная недостаточность</w:t>
      </w:r>
      <w:r w:rsidRPr="00984D06">
        <w:rPr>
          <w:rFonts w:ascii="Times New Roman" w:hAnsi="Times New Roman"/>
          <w:sz w:val="24"/>
          <w:szCs w:val="24"/>
        </w:rPr>
        <w:t>: у взрослых пациентов с легкой и средней тяжести печеночной недостаточностью AUC увеличивается примерно на 20 % и 75 %, соответственно. Клинический опыт применения у взрослых пациентов с тяжелой печеночной недостаточностью и у детей с любой степенью тяжести печеночной недостаточности отсутствует. В исследовании многократных доз снижение суточной дозы до 35 мг у взрослых пациентов с печеночной недостаточностью средней тяжести продемонстрировало значение AUC, аналогичное полученному у взрослых испытуемых с нормальной печеночной функцией, принимающих стандартный режим (см. Способ применения и дозы).</w:t>
      </w:r>
    </w:p>
    <w:p w14:paraId="39B5F78C"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i/>
          <w:sz w:val="24"/>
          <w:szCs w:val="24"/>
        </w:rPr>
        <w:t>Почечная недостаточность</w:t>
      </w:r>
      <w:r w:rsidRPr="00984D06">
        <w:rPr>
          <w:rFonts w:ascii="Times New Roman" w:hAnsi="Times New Roman"/>
          <w:sz w:val="24"/>
          <w:szCs w:val="24"/>
        </w:rPr>
        <w:t>: в клиническом исследовании однократных доз по 70 мг фармакокинетика каспофунгина была схожа у взрослых добровольцев с почечной недостаточностью легкой степения тяжести (клиренс креатинина от 50 до 80 мл/мин) и испытуемых из группы контроля. У пациентов со средней тяжестью (клиренс креатинина от 31 до 49 мл/мин), тяжелой (клиренс креатинина от 5 до 30 мл/мин) и терминальной стадией (клиренс креатинина &lt;10 мл/мин, требуется диализ) почечной недостаточности умеренно увеличились плазменные концентрации каспофунгина после введения однократной дозы (в диапазоне от 30 до 49 % для AUC). Однако у взрослых пациентов с инвазивным кандидозом, кандидозом пищевода или инвазивным аспергиллезом, принимавших многократные ежедневные дозы каспофунгина в 50 мг, значительное влияние наличия легкой или тяжелой почечной недостаточности на концентрации каспофунгина отсутствовало. Коррекция дозы не требуется для пациентов с почечной недостаточностью. Каспофунгин не поддается диализу, поэтому дополнительная дозировка после гемодиализа не требуется.</w:t>
      </w:r>
    </w:p>
    <w:p w14:paraId="14E692B3"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i/>
          <w:sz w:val="24"/>
          <w:szCs w:val="24"/>
        </w:rPr>
        <w:t>Пол</w:t>
      </w:r>
      <w:r w:rsidRPr="00984D06">
        <w:rPr>
          <w:rFonts w:ascii="Times New Roman" w:hAnsi="Times New Roman"/>
          <w:sz w:val="24"/>
          <w:szCs w:val="24"/>
        </w:rPr>
        <w:t>: плазменные концентрации каспофунгина были в среднем на 17-38 % выше у женщин, чем у мужчин.</w:t>
      </w:r>
    </w:p>
    <w:p w14:paraId="6C969286" w14:textId="77777777" w:rsidR="00984D06" w:rsidRPr="00984D06" w:rsidRDefault="00984D06" w:rsidP="00984D06">
      <w:pPr>
        <w:shd w:val="clear" w:color="auto" w:fill="FFFFFF"/>
        <w:spacing w:after="0" w:line="20" w:lineRule="atLeast"/>
        <w:jc w:val="both"/>
        <w:rPr>
          <w:rFonts w:ascii="Times New Roman" w:hAnsi="Times New Roman"/>
          <w:sz w:val="24"/>
          <w:szCs w:val="24"/>
        </w:rPr>
      </w:pPr>
      <w:r w:rsidRPr="00984D06">
        <w:rPr>
          <w:rFonts w:ascii="Times New Roman" w:hAnsi="Times New Roman"/>
          <w:i/>
          <w:sz w:val="24"/>
          <w:szCs w:val="24"/>
        </w:rPr>
        <w:t>Пожилые</w:t>
      </w:r>
      <w:r w:rsidRPr="00984D06">
        <w:rPr>
          <w:rFonts w:ascii="Times New Roman" w:hAnsi="Times New Roman"/>
          <w:sz w:val="24"/>
          <w:szCs w:val="24"/>
        </w:rPr>
        <w:t>: умеренное увеличение AUC (28 %) и C</w:t>
      </w:r>
      <w:r w:rsidRPr="00984D06">
        <w:rPr>
          <w:rFonts w:ascii="Times New Roman" w:hAnsi="Times New Roman"/>
          <w:sz w:val="24"/>
          <w:szCs w:val="24"/>
          <w:vertAlign w:val="subscript"/>
        </w:rPr>
        <w:t>24h</w:t>
      </w:r>
      <w:r w:rsidRPr="00984D06">
        <w:rPr>
          <w:rFonts w:ascii="Times New Roman" w:hAnsi="Times New Roman"/>
          <w:sz w:val="24"/>
          <w:szCs w:val="24"/>
        </w:rPr>
        <w:t xml:space="preserve"> (32 %) наблюдалось у пожилых мужчин по сравнению с молодыми мужчинами. У пациентов, которые лечились эмпирически или у которых был инвазивный кандидоз, аналогичное умеренное влияние возраста наблюдалось у пациентов старшего возраста по сравнению с более молодыми пациентами.</w:t>
      </w:r>
    </w:p>
    <w:p w14:paraId="6780130B"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i/>
          <w:sz w:val="24"/>
          <w:szCs w:val="24"/>
        </w:rPr>
        <w:t>Раса</w:t>
      </w:r>
      <w:r w:rsidRPr="00984D06">
        <w:rPr>
          <w:rFonts w:ascii="Times New Roman" w:hAnsi="Times New Roman"/>
          <w:sz w:val="24"/>
          <w:szCs w:val="24"/>
        </w:rPr>
        <w:t>: фармакокинетические данные пациентов показали, что клинически значимых различий в фармакокинетике каспофунгина не наблюдалось среди кавказоидов, негроидной расы, латиноамериканцев и метисов.</w:t>
      </w:r>
    </w:p>
    <w:p w14:paraId="37676A48"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i/>
          <w:sz w:val="24"/>
          <w:szCs w:val="24"/>
        </w:rPr>
        <w:t>Дети:</w:t>
      </w:r>
      <w:r w:rsidRPr="00984D06">
        <w:rPr>
          <w:rFonts w:ascii="Times New Roman" w:hAnsi="Times New Roman"/>
          <w:sz w:val="24"/>
          <w:szCs w:val="24"/>
        </w:rPr>
        <w:t xml:space="preserve"> </w:t>
      </w:r>
      <w:r w:rsidRPr="00984D06">
        <w:rPr>
          <w:rFonts w:ascii="Times New Roman" w:hAnsi="Times New Roman"/>
          <w:snapToGrid w:val="0"/>
          <w:sz w:val="24"/>
          <w:szCs w:val="24"/>
        </w:rPr>
        <w:t xml:space="preserve">у детей и подростков </w:t>
      </w:r>
      <w:r w:rsidRPr="00984D06">
        <w:rPr>
          <w:rFonts w:ascii="Times New Roman" w:hAnsi="Times New Roman"/>
          <w:sz w:val="24"/>
          <w:szCs w:val="24"/>
        </w:rPr>
        <w:t>(в возрасте от 12 до 17 лет), получавших каспофунгин в дозе 50 мг/м</w:t>
      </w:r>
      <w:r w:rsidRPr="00984D06">
        <w:rPr>
          <w:rFonts w:ascii="Times New Roman" w:hAnsi="Times New Roman"/>
          <w:sz w:val="24"/>
          <w:szCs w:val="24"/>
          <w:vertAlign w:val="superscript"/>
        </w:rPr>
        <w:t>2</w:t>
      </w:r>
      <w:r w:rsidRPr="00984D06">
        <w:rPr>
          <w:rFonts w:ascii="Times New Roman" w:hAnsi="Times New Roman"/>
          <w:sz w:val="24"/>
          <w:szCs w:val="24"/>
        </w:rPr>
        <w:t> ежедневно</w:t>
      </w:r>
      <w:r w:rsidRPr="00984D06">
        <w:rPr>
          <w:rFonts w:ascii="Times New Roman" w:hAnsi="Times New Roman"/>
          <w:snapToGrid w:val="0"/>
          <w:sz w:val="24"/>
          <w:szCs w:val="24"/>
        </w:rPr>
        <w:t xml:space="preserve"> (максимум 70 мг в сутки), плазменное значение AUC</w:t>
      </w:r>
      <w:r w:rsidRPr="00984D06">
        <w:rPr>
          <w:rFonts w:ascii="Times New Roman" w:hAnsi="Times New Roman"/>
          <w:snapToGrid w:val="0"/>
          <w:sz w:val="24"/>
          <w:szCs w:val="24"/>
          <w:vertAlign w:val="subscript"/>
        </w:rPr>
        <w:t>0-24 ч</w:t>
      </w:r>
      <w:r w:rsidRPr="00984D06">
        <w:rPr>
          <w:rFonts w:ascii="Times New Roman" w:hAnsi="Times New Roman"/>
          <w:snapToGrid w:val="0"/>
          <w:sz w:val="24"/>
          <w:szCs w:val="24"/>
        </w:rPr>
        <w:t xml:space="preserve"> каспофунгина в целом сопоставимо с таковым у взрослых пациентов, принимавших каспофунгин 50 мг в сутки</w:t>
      </w:r>
      <w:r w:rsidRPr="00984D06">
        <w:rPr>
          <w:rFonts w:ascii="Times New Roman" w:hAnsi="Times New Roman"/>
          <w:sz w:val="24"/>
          <w:szCs w:val="24"/>
        </w:rPr>
        <w:t xml:space="preserve">. Всем подросткам вводили дозы &gt;50 мг в сутки, и, </w:t>
      </w:r>
      <w:r w:rsidRPr="00984D06">
        <w:rPr>
          <w:rFonts w:ascii="Times New Roman" w:hAnsi="Times New Roman"/>
          <w:sz w:val="24"/>
          <w:szCs w:val="24"/>
        </w:rPr>
        <w:lastRenderedPageBreak/>
        <w:t>фактически, 6 из 8 получали максимальную дозу 70 мг/сутки. Плазменные концентрации каспофунгина у данных подростков были снижены по сравнению со взрослыми, получавшими 70 мг в день, причем эта доза чаще всего назначалась подросткам.</w:t>
      </w:r>
    </w:p>
    <w:p w14:paraId="15652B78"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sz w:val="24"/>
          <w:szCs w:val="24"/>
        </w:rPr>
        <w:t>У детей (в возрасте от 2 до 11 лет), получавших каспофунгин в дозе 50 мг/м</w:t>
      </w:r>
      <w:r w:rsidRPr="00984D06">
        <w:rPr>
          <w:rFonts w:ascii="Times New Roman" w:hAnsi="Times New Roman"/>
          <w:sz w:val="24"/>
          <w:szCs w:val="24"/>
          <w:vertAlign w:val="superscript"/>
        </w:rPr>
        <w:t>2</w:t>
      </w:r>
      <w:r w:rsidRPr="00984D06">
        <w:rPr>
          <w:rFonts w:ascii="Times New Roman" w:hAnsi="Times New Roman"/>
          <w:sz w:val="24"/>
          <w:szCs w:val="24"/>
        </w:rPr>
        <w:t xml:space="preserve"> ежедневно (максимум 70 мг в день), плазменное значение AUC</w:t>
      </w:r>
      <w:r w:rsidRPr="00984D06">
        <w:rPr>
          <w:rFonts w:ascii="Times New Roman" w:hAnsi="Times New Roman"/>
          <w:sz w:val="24"/>
          <w:szCs w:val="24"/>
          <w:vertAlign w:val="subscript"/>
        </w:rPr>
        <w:t>0-24ч</w:t>
      </w:r>
      <w:r w:rsidRPr="00984D06">
        <w:rPr>
          <w:rFonts w:ascii="Times New Roman" w:hAnsi="Times New Roman"/>
          <w:sz w:val="24"/>
          <w:szCs w:val="24"/>
        </w:rPr>
        <w:t xml:space="preserve"> каспофунгина после многократных доз было сопоставимо с таковой у взрослых, получавших каспофунгин по 50 мг/сутки.</w:t>
      </w:r>
    </w:p>
    <w:p w14:paraId="65414FDE"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sz w:val="24"/>
          <w:szCs w:val="24"/>
        </w:rPr>
        <w:t>У детей раннего возраста (от 12 до 23 месяцев), которым вводили каспофунгин по 50 мг/м</w:t>
      </w:r>
      <w:r w:rsidRPr="00984D06">
        <w:rPr>
          <w:rFonts w:ascii="Times New Roman" w:hAnsi="Times New Roman"/>
          <w:sz w:val="24"/>
          <w:szCs w:val="24"/>
          <w:vertAlign w:val="superscript"/>
        </w:rPr>
        <w:t>2</w:t>
      </w:r>
      <w:r w:rsidRPr="00984D06">
        <w:rPr>
          <w:rFonts w:ascii="Times New Roman" w:hAnsi="Times New Roman"/>
          <w:sz w:val="24"/>
          <w:szCs w:val="24"/>
        </w:rPr>
        <w:t xml:space="preserve"> ежедневно (максимум 70 мг в день), плазменное значение AUC</w:t>
      </w:r>
      <w:r w:rsidRPr="00984D06">
        <w:rPr>
          <w:rFonts w:ascii="Times New Roman" w:hAnsi="Times New Roman"/>
          <w:sz w:val="24"/>
          <w:szCs w:val="24"/>
          <w:vertAlign w:val="subscript"/>
        </w:rPr>
        <w:t>0-24hr</w:t>
      </w:r>
      <w:r w:rsidRPr="00984D06">
        <w:rPr>
          <w:rFonts w:ascii="Times New Roman" w:hAnsi="Times New Roman"/>
          <w:sz w:val="24"/>
          <w:szCs w:val="24"/>
        </w:rPr>
        <w:t xml:space="preserve"> каспофунгина после многократных доз было сопоставимо с таковым у взрослых, получавших каспофунгин по 50 мг в сутки, и у детей старшего возраста (от 2 до 11 лет), получавших 50 мг/м</w:t>
      </w:r>
      <w:r w:rsidRPr="00984D06">
        <w:rPr>
          <w:rFonts w:ascii="Times New Roman" w:hAnsi="Times New Roman"/>
          <w:sz w:val="24"/>
          <w:szCs w:val="24"/>
          <w:vertAlign w:val="superscript"/>
        </w:rPr>
        <w:t>2</w:t>
      </w:r>
      <w:r w:rsidRPr="00984D06">
        <w:rPr>
          <w:rFonts w:ascii="Times New Roman" w:hAnsi="Times New Roman"/>
          <w:sz w:val="24"/>
          <w:szCs w:val="24"/>
        </w:rPr>
        <w:t xml:space="preserve"> в сутки.</w:t>
      </w:r>
    </w:p>
    <w:p w14:paraId="15A1D71C"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sz w:val="24"/>
          <w:szCs w:val="24"/>
        </w:rPr>
        <w:t>В общем, доступные данные по фармакокинетике, эффективности и безопасности ограничены у пациентов в возрасте от 3 до 10 месяцев. Фармакокинетические данные, полученные у одного 10-месячного ребенка, которому вводили 50 мг/м</w:t>
      </w:r>
      <w:r w:rsidRPr="00984D06">
        <w:rPr>
          <w:rFonts w:ascii="Times New Roman" w:hAnsi="Times New Roman"/>
          <w:sz w:val="24"/>
          <w:szCs w:val="24"/>
          <w:vertAlign w:val="superscript"/>
        </w:rPr>
        <w:t>2</w:t>
      </w:r>
      <w:r w:rsidRPr="00984D06">
        <w:rPr>
          <w:rFonts w:ascii="Times New Roman" w:hAnsi="Times New Roman"/>
          <w:sz w:val="24"/>
          <w:szCs w:val="24"/>
        </w:rPr>
        <w:t xml:space="preserve"> в сутки, показали AUC</w:t>
      </w:r>
      <w:r w:rsidRPr="00984D06">
        <w:rPr>
          <w:rFonts w:ascii="Times New Roman" w:hAnsi="Times New Roman"/>
          <w:sz w:val="24"/>
          <w:szCs w:val="24"/>
          <w:vertAlign w:val="subscript"/>
        </w:rPr>
        <w:t>0-24hr</w:t>
      </w:r>
      <w:r w:rsidRPr="00984D06">
        <w:rPr>
          <w:rFonts w:ascii="Times New Roman" w:hAnsi="Times New Roman"/>
          <w:sz w:val="24"/>
          <w:szCs w:val="24"/>
        </w:rPr>
        <w:t xml:space="preserve"> в том же диапазоне, что и у детей старшего возраста и взрослых, получавших дозы 50 мг/м</w:t>
      </w:r>
      <w:r w:rsidRPr="00984D06">
        <w:rPr>
          <w:rFonts w:ascii="Times New Roman" w:hAnsi="Times New Roman"/>
          <w:sz w:val="24"/>
          <w:szCs w:val="24"/>
          <w:vertAlign w:val="superscript"/>
        </w:rPr>
        <w:t>2</w:t>
      </w:r>
      <w:r w:rsidRPr="00984D06">
        <w:rPr>
          <w:rFonts w:ascii="Times New Roman" w:hAnsi="Times New Roman"/>
          <w:sz w:val="24"/>
          <w:szCs w:val="24"/>
        </w:rPr>
        <w:t xml:space="preserve"> и 50 мг, соответственно, в то время как у одного 6-месячного ребенка, которому вводили по 50 мг/м</w:t>
      </w:r>
      <w:r w:rsidRPr="00984D06">
        <w:rPr>
          <w:rFonts w:ascii="Times New Roman" w:hAnsi="Times New Roman"/>
          <w:sz w:val="24"/>
          <w:szCs w:val="24"/>
          <w:vertAlign w:val="superscript"/>
        </w:rPr>
        <w:t>2</w:t>
      </w:r>
      <w:r w:rsidRPr="00984D06">
        <w:rPr>
          <w:rFonts w:ascii="Times New Roman" w:hAnsi="Times New Roman"/>
          <w:sz w:val="24"/>
          <w:szCs w:val="24"/>
        </w:rPr>
        <w:t>, значение AUC</w:t>
      </w:r>
      <w:r w:rsidRPr="00984D06">
        <w:rPr>
          <w:rFonts w:ascii="Times New Roman" w:hAnsi="Times New Roman"/>
          <w:sz w:val="24"/>
          <w:szCs w:val="24"/>
          <w:vertAlign w:val="subscript"/>
        </w:rPr>
        <w:t>0-24hr</w:t>
      </w:r>
      <w:r w:rsidRPr="00984D06">
        <w:rPr>
          <w:rFonts w:ascii="Times New Roman" w:hAnsi="Times New Roman"/>
          <w:sz w:val="24"/>
          <w:szCs w:val="24"/>
        </w:rPr>
        <w:t xml:space="preserve"> было в несколько выше.</w:t>
      </w:r>
    </w:p>
    <w:p w14:paraId="7CC61061" w14:textId="77777777" w:rsidR="00984D06" w:rsidRPr="00984D06" w:rsidRDefault="00984D06" w:rsidP="00984D06">
      <w:pPr>
        <w:spacing w:after="0" w:line="20" w:lineRule="atLeast"/>
        <w:ind w:right="-20"/>
        <w:jc w:val="both"/>
        <w:rPr>
          <w:rFonts w:ascii="Times New Roman" w:hAnsi="Times New Roman"/>
          <w:sz w:val="24"/>
          <w:szCs w:val="24"/>
        </w:rPr>
      </w:pPr>
      <w:r w:rsidRPr="00984D06">
        <w:rPr>
          <w:rFonts w:ascii="Times New Roman" w:hAnsi="Times New Roman"/>
          <w:sz w:val="24"/>
          <w:szCs w:val="24"/>
        </w:rPr>
        <w:t>У новорожденных и младенцев (&lt;3 месяцев), которым вводили каспофунгин по 25 мг/м</w:t>
      </w:r>
      <w:r w:rsidRPr="00984D06">
        <w:rPr>
          <w:rFonts w:ascii="Times New Roman" w:hAnsi="Times New Roman"/>
          <w:sz w:val="24"/>
          <w:szCs w:val="24"/>
          <w:vertAlign w:val="superscript"/>
        </w:rPr>
        <w:t>2</w:t>
      </w:r>
      <w:r w:rsidRPr="00984D06">
        <w:rPr>
          <w:rFonts w:ascii="Times New Roman" w:hAnsi="Times New Roman"/>
          <w:sz w:val="24"/>
          <w:szCs w:val="24"/>
        </w:rPr>
        <w:t xml:space="preserve"> в сутки (соответствующая средняя суточная доза 2,1 мг/кг), пиковая концентрация каспофунгина (C</w:t>
      </w:r>
      <w:r w:rsidRPr="00984D06">
        <w:rPr>
          <w:rFonts w:ascii="Times New Roman" w:hAnsi="Times New Roman"/>
          <w:sz w:val="24"/>
          <w:szCs w:val="24"/>
          <w:vertAlign w:val="subscript"/>
        </w:rPr>
        <w:t>1hr</w:t>
      </w:r>
      <w:r w:rsidRPr="00984D06">
        <w:rPr>
          <w:rFonts w:ascii="Times New Roman" w:hAnsi="Times New Roman"/>
          <w:sz w:val="24"/>
          <w:szCs w:val="24"/>
        </w:rPr>
        <w:t>) и концентрация каспофунгина (C</w:t>
      </w:r>
      <w:r w:rsidRPr="00984D06">
        <w:rPr>
          <w:rFonts w:ascii="Times New Roman" w:hAnsi="Times New Roman"/>
          <w:sz w:val="24"/>
          <w:szCs w:val="24"/>
          <w:vertAlign w:val="subscript"/>
        </w:rPr>
        <w:t>24hr</w:t>
      </w:r>
      <w:r w:rsidRPr="00984D06">
        <w:rPr>
          <w:rFonts w:ascii="Times New Roman" w:hAnsi="Times New Roman"/>
          <w:sz w:val="24"/>
          <w:szCs w:val="24"/>
        </w:rPr>
        <w:t>) после многократных доз были сопоставимы с таковыми у взрослых, получавших каспофунгин по 50 мг в сутки. В 1</w:t>
      </w:r>
      <w:r w:rsidRPr="00984D06">
        <w:rPr>
          <w:rFonts w:ascii="Times New Roman" w:hAnsi="Times New Roman"/>
          <w:sz w:val="24"/>
          <w:szCs w:val="24"/>
          <w:vertAlign w:val="superscript"/>
        </w:rPr>
        <w:t>ый</w:t>
      </w:r>
      <w:r w:rsidRPr="00984D06">
        <w:rPr>
          <w:rFonts w:ascii="Times New Roman" w:hAnsi="Times New Roman"/>
          <w:sz w:val="24"/>
          <w:szCs w:val="24"/>
        </w:rPr>
        <w:t xml:space="preserve"> день значение C</w:t>
      </w:r>
      <w:r w:rsidRPr="00984D06">
        <w:rPr>
          <w:rFonts w:ascii="Times New Roman" w:hAnsi="Times New Roman"/>
          <w:sz w:val="24"/>
          <w:szCs w:val="24"/>
          <w:vertAlign w:val="subscript"/>
        </w:rPr>
        <w:t>1hr</w:t>
      </w:r>
      <w:r w:rsidRPr="00984D06">
        <w:rPr>
          <w:rFonts w:ascii="Times New Roman" w:hAnsi="Times New Roman"/>
          <w:sz w:val="24"/>
          <w:szCs w:val="24"/>
        </w:rPr>
        <w:t xml:space="preserve"> было сопоставимо, а C</w:t>
      </w:r>
      <w:r w:rsidRPr="00984D06">
        <w:rPr>
          <w:rFonts w:ascii="Times New Roman" w:hAnsi="Times New Roman"/>
          <w:sz w:val="24"/>
          <w:szCs w:val="24"/>
          <w:vertAlign w:val="subscript"/>
        </w:rPr>
        <w:t>24hr</w:t>
      </w:r>
      <w:r w:rsidRPr="00984D06">
        <w:rPr>
          <w:rFonts w:ascii="Times New Roman" w:hAnsi="Times New Roman"/>
          <w:sz w:val="24"/>
          <w:szCs w:val="24"/>
        </w:rPr>
        <w:t xml:space="preserve"> умеренно повышено (36 %) у данных новорожденных и младенцев по сравнению со взрослыми. Однако наблюдалась изменчивость как C</w:t>
      </w:r>
      <w:r w:rsidRPr="00984D06">
        <w:rPr>
          <w:rFonts w:ascii="Times New Roman" w:hAnsi="Times New Roman"/>
          <w:sz w:val="24"/>
          <w:szCs w:val="24"/>
          <w:vertAlign w:val="subscript"/>
        </w:rPr>
        <w:t>1hr</w:t>
      </w:r>
      <w:r w:rsidRPr="00984D06">
        <w:rPr>
          <w:rFonts w:ascii="Times New Roman" w:hAnsi="Times New Roman"/>
          <w:position w:val="-3"/>
          <w:sz w:val="24"/>
          <w:szCs w:val="24"/>
        </w:rPr>
        <w:t xml:space="preserve"> </w:t>
      </w:r>
      <w:r w:rsidRPr="00984D06">
        <w:rPr>
          <w:rFonts w:ascii="Times New Roman" w:hAnsi="Times New Roman"/>
          <w:sz w:val="24"/>
          <w:szCs w:val="24"/>
        </w:rPr>
        <w:t>(4</w:t>
      </w:r>
      <w:r w:rsidRPr="00984D06">
        <w:rPr>
          <w:rFonts w:ascii="Times New Roman" w:hAnsi="Times New Roman"/>
          <w:sz w:val="24"/>
          <w:szCs w:val="24"/>
          <w:vertAlign w:val="superscript"/>
        </w:rPr>
        <w:t>ый</w:t>
      </w:r>
      <w:r w:rsidRPr="00984D06">
        <w:rPr>
          <w:rFonts w:ascii="Times New Roman" w:hAnsi="Times New Roman"/>
          <w:sz w:val="24"/>
          <w:szCs w:val="24"/>
        </w:rPr>
        <w:t xml:space="preserve"> день, среднее геометрическое— 11,73 мкг/мл, диапазон от 2,63 до 22,05 мкг/мл), так и C</w:t>
      </w:r>
      <w:r w:rsidRPr="00984D06">
        <w:rPr>
          <w:rFonts w:ascii="Times New Roman" w:hAnsi="Times New Roman"/>
          <w:position w:val="-3"/>
          <w:sz w:val="24"/>
          <w:szCs w:val="24"/>
          <w:vertAlign w:val="subscript"/>
        </w:rPr>
        <w:t>24hr</w:t>
      </w:r>
      <w:r w:rsidRPr="00984D06">
        <w:rPr>
          <w:rFonts w:ascii="Times New Roman" w:hAnsi="Times New Roman"/>
          <w:position w:val="-3"/>
          <w:sz w:val="24"/>
          <w:szCs w:val="24"/>
        </w:rPr>
        <w:t xml:space="preserve"> </w:t>
      </w:r>
      <w:r w:rsidRPr="00984D06">
        <w:rPr>
          <w:rFonts w:ascii="Times New Roman" w:hAnsi="Times New Roman"/>
          <w:sz w:val="24"/>
          <w:szCs w:val="24"/>
        </w:rPr>
        <w:t>(4</w:t>
      </w:r>
      <w:r w:rsidRPr="00984D06">
        <w:rPr>
          <w:rFonts w:ascii="Times New Roman" w:hAnsi="Times New Roman"/>
          <w:sz w:val="24"/>
          <w:szCs w:val="24"/>
          <w:vertAlign w:val="superscript"/>
        </w:rPr>
        <w:t>ый</w:t>
      </w:r>
      <w:r w:rsidRPr="00984D06">
        <w:rPr>
          <w:rFonts w:ascii="Times New Roman" w:hAnsi="Times New Roman"/>
          <w:sz w:val="24"/>
          <w:szCs w:val="24"/>
        </w:rPr>
        <w:t xml:space="preserve"> день, среднее геометрическое— 3,55 мкг/мл, диапазон от 0,13 до 7,17 мкг/мл). Измерения AUC</w:t>
      </w:r>
      <w:r w:rsidRPr="00984D06">
        <w:rPr>
          <w:rFonts w:ascii="Times New Roman" w:hAnsi="Times New Roman"/>
          <w:sz w:val="24"/>
          <w:szCs w:val="24"/>
          <w:vertAlign w:val="subscript"/>
        </w:rPr>
        <w:t>0-24hr</w:t>
      </w:r>
      <w:r w:rsidRPr="00984D06">
        <w:rPr>
          <w:rFonts w:ascii="Times New Roman" w:hAnsi="Times New Roman"/>
          <w:sz w:val="24"/>
          <w:szCs w:val="24"/>
        </w:rPr>
        <w:t xml:space="preserve"> не выполнялись в данном исследовании из-за редкого забора образцов плазмы. Следует отметить, что эффективность и безопасность каспофунгина не изучались в достаточной степени в проспективных клинических испытаниях с участием новорожденных и младенцев младше 3 месяцев.</w:t>
      </w:r>
    </w:p>
    <w:p w14:paraId="556F56D1" w14:textId="77777777" w:rsidR="00957BAF" w:rsidRPr="00984D06" w:rsidRDefault="00957BAF" w:rsidP="0078568D">
      <w:pPr>
        <w:autoSpaceDE w:val="0"/>
        <w:autoSpaceDN w:val="0"/>
        <w:adjustRightInd w:val="0"/>
        <w:spacing w:after="0" w:line="240" w:lineRule="auto"/>
        <w:rPr>
          <w:rFonts w:ascii="Times New Roman" w:hAnsi="Times New Roman"/>
          <w:b/>
          <w:iCs/>
          <w:sz w:val="24"/>
          <w:szCs w:val="24"/>
          <w:lang w:eastAsia="ru-RU"/>
        </w:rPr>
      </w:pPr>
    </w:p>
    <w:p w14:paraId="2B627A40" w14:textId="77777777" w:rsidR="00DF3381" w:rsidRPr="00EE5F5F"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EE5F5F">
        <w:rPr>
          <w:rFonts w:ascii="Times New Roman" w:hAnsi="Times New Roman"/>
          <w:b/>
          <w:sz w:val="24"/>
          <w:szCs w:val="24"/>
          <w:lang w:eastAsia="ru-RU"/>
        </w:rPr>
        <w:t xml:space="preserve">5.3. </w:t>
      </w:r>
      <w:r w:rsidRPr="00EE5F5F">
        <w:rPr>
          <w:rFonts w:ascii="Times New Roman" w:eastAsia="TimesNewRomanPSMT" w:hAnsi="Times New Roman"/>
          <w:b/>
          <w:sz w:val="24"/>
          <w:szCs w:val="24"/>
          <w:lang w:eastAsia="ru-RU"/>
        </w:rPr>
        <w:t>Да</w:t>
      </w:r>
      <w:r w:rsidR="00DD5E3A" w:rsidRPr="00EE5F5F">
        <w:rPr>
          <w:rFonts w:ascii="Times New Roman" w:eastAsia="TimesNewRomanPSMT" w:hAnsi="Times New Roman"/>
          <w:b/>
          <w:sz w:val="24"/>
          <w:szCs w:val="24"/>
          <w:lang w:eastAsia="ru-RU"/>
        </w:rPr>
        <w:t>нные доклинической безопасности</w:t>
      </w:r>
    </w:p>
    <w:p w14:paraId="7BF8B96C" w14:textId="77777777" w:rsidR="00CE03ED" w:rsidRDefault="001A00A2" w:rsidP="001A00A2">
      <w:pPr>
        <w:autoSpaceDE w:val="0"/>
        <w:autoSpaceDN w:val="0"/>
        <w:adjustRightInd w:val="0"/>
        <w:spacing w:after="0" w:line="240" w:lineRule="auto"/>
        <w:jc w:val="both"/>
        <w:rPr>
          <w:rFonts w:ascii="Times New Roman" w:hAnsi="Times New Roman"/>
          <w:iCs/>
          <w:sz w:val="24"/>
          <w:szCs w:val="24"/>
          <w:lang w:eastAsia="ru-RU"/>
        </w:rPr>
      </w:pPr>
      <w:r w:rsidRPr="0044339E">
        <w:rPr>
          <w:rFonts w:ascii="Times New Roman" w:hAnsi="Times New Roman"/>
          <w:iCs/>
          <w:sz w:val="24"/>
          <w:szCs w:val="24"/>
          <w:lang w:eastAsia="ru-RU"/>
        </w:rPr>
        <w:t xml:space="preserve">Повторные исследования токсичности доз у крыс и обезьян с использованием доз до 7-8 мг/кг, вводимых внутривенно, </w:t>
      </w:r>
      <w:r w:rsidR="00183EB4" w:rsidRPr="0044339E">
        <w:rPr>
          <w:rFonts w:ascii="Times New Roman" w:hAnsi="Times New Roman"/>
          <w:iCs/>
          <w:sz w:val="24"/>
          <w:szCs w:val="24"/>
          <w:lang w:eastAsia="ru-RU"/>
        </w:rPr>
        <w:t xml:space="preserve">выявили </w:t>
      </w:r>
      <w:r w:rsidRPr="0044339E">
        <w:rPr>
          <w:rFonts w:ascii="Times New Roman" w:hAnsi="Times New Roman"/>
          <w:iCs/>
          <w:sz w:val="24"/>
          <w:szCs w:val="24"/>
          <w:lang w:eastAsia="ru-RU"/>
        </w:rPr>
        <w:t>реакции в месте инъекции у крыс и обезьян, признаки высвобождения гистамина у крыс и доказательства побочных эффектов</w:t>
      </w:r>
      <w:r w:rsidR="00183EB4" w:rsidRPr="0044339E">
        <w:rPr>
          <w:rFonts w:ascii="Times New Roman" w:hAnsi="Times New Roman"/>
          <w:iCs/>
          <w:sz w:val="24"/>
          <w:szCs w:val="24"/>
          <w:lang w:eastAsia="ru-RU"/>
        </w:rPr>
        <w:t xml:space="preserve"> со стороны </w:t>
      </w:r>
      <w:r w:rsidRPr="0044339E">
        <w:rPr>
          <w:rFonts w:ascii="Times New Roman" w:hAnsi="Times New Roman"/>
          <w:iCs/>
          <w:sz w:val="24"/>
          <w:szCs w:val="24"/>
          <w:lang w:eastAsia="ru-RU"/>
        </w:rPr>
        <w:t>печен</w:t>
      </w:r>
      <w:r w:rsidR="00183EB4" w:rsidRPr="0044339E">
        <w:rPr>
          <w:rFonts w:ascii="Times New Roman" w:hAnsi="Times New Roman"/>
          <w:iCs/>
          <w:sz w:val="24"/>
          <w:szCs w:val="24"/>
          <w:lang w:eastAsia="ru-RU"/>
        </w:rPr>
        <w:t>и</w:t>
      </w:r>
      <w:r w:rsidRPr="0044339E">
        <w:rPr>
          <w:rFonts w:ascii="Times New Roman" w:hAnsi="Times New Roman"/>
          <w:iCs/>
          <w:sz w:val="24"/>
          <w:szCs w:val="24"/>
          <w:lang w:eastAsia="ru-RU"/>
        </w:rPr>
        <w:t xml:space="preserve"> у обезьян. Исследования токсичности развития у крыс показали, что каспофунгин вызывает снижение массы тела плода и увеличение частоты неполного окостенения позвонков, грудины и костей черепа в дозах 5 мг/кг, что связано с неблагоприятными эффектами, такими как признаки высвобождения гистамина у беременных крыс. </w:t>
      </w:r>
      <w:r w:rsidR="00183EB4" w:rsidRPr="0044339E">
        <w:rPr>
          <w:rFonts w:ascii="Times New Roman" w:hAnsi="Times New Roman"/>
          <w:iCs/>
          <w:sz w:val="24"/>
          <w:szCs w:val="24"/>
          <w:lang w:eastAsia="ru-RU"/>
        </w:rPr>
        <w:t xml:space="preserve">Также отмечалось увеличение частоты шейных ребер. Каспофунгин </w:t>
      </w:r>
      <w:r w:rsidR="0044339E" w:rsidRPr="0044339E">
        <w:rPr>
          <w:rFonts w:ascii="Times New Roman" w:hAnsi="Times New Roman"/>
          <w:iCs/>
          <w:sz w:val="24"/>
          <w:szCs w:val="24"/>
          <w:lang w:eastAsia="ru-RU"/>
        </w:rPr>
        <w:t>давал</w:t>
      </w:r>
      <w:r w:rsidR="00183EB4" w:rsidRPr="0044339E">
        <w:rPr>
          <w:rFonts w:ascii="Times New Roman" w:hAnsi="Times New Roman"/>
          <w:iCs/>
          <w:sz w:val="24"/>
          <w:szCs w:val="24"/>
          <w:lang w:eastAsia="ru-RU"/>
        </w:rPr>
        <w:t xml:space="preserve"> отрицательные результаты в тестах </w:t>
      </w:r>
      <w:r w:rsidR="00183EB4" w:rsidRPr="00297498">
        <w:rPr>
          <w:rFonts w:ascii="Times New Roman" w:hAnsi="Times New Roman"/>
          <w:i/>
          <w:sz w:val="24"/>
          <w:szCs w:val="24"/>
          <w:lang w:eastAsia="ru-RU"/>
        </w:rPr>
        <w:t>in vitro</w:t>
      </w:r>
      <w:r w:rsidR="00183EB4" w:rsidRPr="0044339E">
        <w:rPr>
          <w:rFonts w:ascii="Times New Roman" w:hAnsi="Times New Roman"/>
          <w:iCs/>
          <w:sz w:val="24"/>
          <w:szCs w:val="24"/>
          <w:lang w:eastAsia="ru-RU"/>
        </w:rPr>
        <w:t xml:space="preserve"> на потенциальную генотоксичность, а также в хромосомном тесте костного мозга мышей </w:t>
      </w:r>
      <w:r w:rsidR="00183EB4" w:rsidRPr="00297498">
        <w:rPr>
          <w:rFonts w:ascii="Times New Roman" w:hAnsi="Times New Roman"/>
          <w:i/>
          <w:sz w:val="24"/>
          <w:szCs w:val="24"/>
          <w:lang w:eastAsia="ru-RU"/>
        </w:rPr>
        <w:t>in vivo</w:t>
      </w:r>
      <w:r w:rsidR="00183EB4" w:rsidRPr="0044339E">
        <w:rPr>
          <w:rFonts w:ascii="Times New Roman" w:hAnsi="Times New Roman"/>
          <w:iCs/>
          <w:sz w:val="24"/>
          <w:szCs w:val="24"/>
          <w:lang w:eastAsia="ru-RU"/>
        </w:rPr>
        <w:t xml:space="preserve">. Долгосрочных исследований </w:t>
      </w:r>
      <w:r w:rsidR="0044339E" w:rsidRPr="0044339E">
        <w:rPr>
          <w:rFonts w:ascii="Times New Roman" w:hAnsi="Times New Roman"/>
          <w:iCs/>
          <w:sz w:val="24"/>
          <w:szCs w:val="24"/>
          <w:lang w:eastAsia="ru-RU"/>
        </w:rPr>
        <w:t>на</w:t>
      </w:r>
      <w:r w:rsidR="00183EB4" w:rsidRPr="0044339E">
        <w:rPr>
          <w:rFonts w:ascii="Times New Roman" w:hAnsi="Times New Roman"/>
          <w:iCs/>
          <w:sz w:val="24"/>
          <w:szCs w:val="24"/>
          <w:lang w:eastAsia="ru-RU"/>
        </w:rPr>
        <w:t xml:space="preserve"> животных для оценки канцерогенного потенциала не проводилось. Что касается каспофунгина, то в исследованиях, проведенных на крысах-самцах и самках в дозе до </w:t>
      </w:r>
      <w:r w:rsidR="00D735FE">
        <w:rPr>
          <w:rFonts w:ascii="Times New Roman" w:hAnsi="Times New Roman"/>
          <w:iCs/>
          <w:sz w:val="24"/>
          <w:szCs w:val="24"/>
          <w:lang w:eastAsia="ru-RU"/>
        </w:rPr>
        <w:t xml:space="preserve"> </w:t>
      </w:r>
      <w:r w:rsidR="00183EB4" w:rsidRPr="0044339E">
        <w:rPr>
          <w:rFonts w:ascii="Times New Roman" w:hAnsi="Times New Roman"/>
          <w:iCs/>
          <w:sz w:val="24"/>
          <w:szCs w:val="24"/>
          <w:lang w:eastAsia="ru-RU"/>
        </w:rPr>
        <w:t xml:space="preserve">5 мг/кг/день, не </w:t>
      </w:r>
      <w:r w:rsidR="00500906" w:rsidRPr="0044339E">
        <w:rPr>
          <w:rFonts w:ascii="Times New Roman" w:hAnsi="Times New Roman"/>
          <w:iCs/>
          <w:sz w:val="24"/>
          <w:szCs w:val="24"/>
          <w:lang w:eastAsia="ru-RU"/>
        </w:rPr>
        <w:t>наблюдалось</w:t>
      </w:r>
      <w:r w:rsidR="0067245A" w:rsidRPr="0044339E">
        <w:rPr>
          <w:rFonts w:ascii="Times New Roman" w:hAnsi="Times New Roman"/>
          <w:iCs/>
          <w:sz w:val="24"/>
          <w:szCs w:val="24"/>
          <w:lang w:eastAsia="ru-RU"/>
        </w:rPr>
        <w:t xml:space="preserve"> никакого</w:t>
      </w:r>
      <w:r w:rsidR="00183EB4" w:rsidRPr="0044339E">
        <w:rPr>
          <w:rFonts w:ascii="Times New Roman" w:hAnsi="Times New Roman"/>
          <w:iCs/>
          <w:sz w:val="24"/>
          <w:szCs w:val="24"/>
          <w:lang w:eastAsia="ru-RU"/>
        </w:rPr>
        <w:t xml:space="preserve"> влияния</w:t>
      </w:r>
      <w:r w:rsidR="00500906" w:rsidRPr="0044339E">
        <w:rPr>
          <w:rFonts w:ascii="Times New Roman" w:hAnsi="Times New Roman"/>
          <w:iCs/>
          <w:sz w:val="24"/>
          <w:szCs w:val="24"/>
          <w:lang w:eastAsia="ru-RU"/>
        </w:rPr>
        <w:t>, оказываемого</w:t>
      </w:r>
      <w:r w:rsidR="00183EB4" w:rsidRPr="0044339E">
        <w:rPr>
          <w:rFonts w:ascii="Times New Roman" w:hAnsi="Times New Roman"/>
          <w:iCs/>
          <w:sz w:val="24"/>
          <w:szCs w:val="24"/>
          <w:lang w:eastAsia="ru-RU"/>
        </w:rPr>
        <w:t xml:space="preserve"> на фертильность.</w:t>
      </w:r>
    </w:p>
    <w:p w14:paraId="0FEE4BB7" w14:textId="77777777" w:rsidR="001A00A2" w:rsidRPr="00EE5F5F" w:rsidRDefault="001A00A2" w:rsidP="0078568D">
      <w:pPr>
        <w:autoSpaceDE w:val="0"/>
        <w:autoSpaceDN w:val="0"/>
        <w:adjustRightInd w:val="0"/>
        <w:spacing w:after="0" w:line="240" w:lineRule="auto"/>
        <w:rPr>
          <w:rFonts w:ascii="Times New Roman" w:hAnsi="Times New Roman"/>
          <w:b/>
          <w:sz w:val="24"/>
          <w:szCs w:val="24"/>
          <w:lang w:eastAsia="ru-RU"/>
        </w:rPr>
      </w:pPr>
    </w:p>
    <w:p w14:paraId="43DB591D" w14:textId="77777777" w:rsidR="00DF3381" w:rsidRPr="00EE5F5F"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EE5F5F">
        <w:rPr>
          <w:rFonts w:ascii="Times New Roman" w:hAnsi="Times New Roman"/>
          <w:b/>
          <w:sz w:val="24"/>
          <w:szCs w:val="24"/>
          <w:lang w:eastAsia="ru-RU"/>
        </w:rPr>
        <w:t xml:space="preserve">6. </w:t>
      </w:r>
      <w:r w:rsidRPr="00EE5F5F">
        <w:rPr>
          <w:rFonts w:ascii="Times New Roman" w:eastAsia="TimesNewRomanPSMT" w:hAnsi="Times New Roman"/>
          <w:b/>
          <w:sz w:val="24"/>
          <w:szCs w:val="24"/>
          <w:lang w:eastAsia="ru-RU"/>
        </w:rPr>
        <w:t>ФАРМАЦЕВТИЧЕСКИЕ СВОЙСТВА</w:t>
      </w:r>
    </w:p>
    <w:p w14:paraId="50F678C3" w14:textId="77777777" w:rsidR="005921EA" w:rsidRPr="00EE5F5F"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EE5F5F">
        <w:rPr>
          <w:rFonts w:ascii="Times New Roman" w:hAnsi="Times New Roman"/>
          <w:b/>
          <w:sz w:val="24"/>
          <w:szCs w:val="24"/>
          <w:lang w:eastAsia="ru-RU"/>
        </w:rPr>
        <w:t xml:space="preserve">6.1. </w:t>
      </w:r>
      <w:r w:rsidRPr="00EE5F5F">
        <w:rPr>
          <w:rFonts w:ascii="Times New Roman" w:eastAsia="TimesNewRomanPSMT" w:hAnsi="Times New Roman"/>
          <w:b/>
          <w:sz w:val="24"/>
          <w:szCs w:val="24"/>
          <w:lang w:eastAsia="ru-RU"/>
        </w:rPr>
        <w:t>Перечень вспомогательных веществ</w:t>
      </w:r>
    </w:p>
    <w:p w14:paraId="1A83B8C5" w14:textId="77777777" w:rsidR="00B51CE6" w:rsidRDefault="00B51CE6" w:rsidP="0078568D">
      <w:pPr>
        <w:autoSpaceDE w:val="0"/>
        <w:autoSpaceDN w:val="0"/>
        <w:adjustRightInd w:val="0"/>
        <w:spacing w:after="0" w:line="240" w:lineRule="auto"/>
        <w:rPr>
          <w:rFonts w:ascii="Times New Roman" w:eastAsia="TimesNewRomanPSMT" w:hAnsi="Times New Roman"/>
          <w:sz w:val="24"/>
          <w:szCs w:val="24"/>
          <w:lang w:eastAsia="ru-RU"/>
        </w:rPr>
      </w:pPr>
      <w:r w:rsidRPr="00B51CE6">
        <w:rPr>
          <w:rFonts w:ascii="Times New Roman" w:eastAsia="TimesNewRomanPSMT" w:hAnsi="Times New Roman"/>
          <w:sz w:val="24"/>
          <w:szCs w:val="24"/>
          <w:lang w:eastAsia="ru-RU"/>
        </w:rPr>
        <w:t xml:space="preserve">сахароза </w:t>
      </w:r>
    </w:p>
    <w:p w14:paraId="4A540E92" w14:textId="77777777" w:rsidR="00B51CE6" w:rsidRDefault="00B51CE6" w:rsidP="0078568D">
      <w:pPr>
        <w:autoSpaceDE w:val="0"/>
        <w:autoSpaceDN w:val="0"/>
        <w:adjustRightInd w:val="0"/>
        <w:spacing w:after="0" w:line="240" w:lineRule="auto"/>
        <w:rPr>
          <w:rFonts w:ascii="Times New Roman" w:eastAsia="TimesNewRomanPSMT" w:hAnsi="Times New Roman"/>
          <w:sz w:val="24"/>
          <w:szCs w:val="24"/>
          <w:lang w:eastAsia="ru-RU"/>
        </w:rPr>
      </w:pPr>
      <w:r w:rsidRPr="00B51CE6">
        <w:rPr>
          <w:rFonts w:ascii="Times New Roman" w:eastAsia="TimesNewRomanPSMT" w:hAnsi="Times New Roman"/>
          <w:sz w:val="24"/>
          <w:szCs w:val="24"/>
          <w:lang w:eastAsia="ru-RU"/>
        </w:rPr>
        <w:t>маннитол</w:t>
      </w:r>
    </w:p>
    <w:p w14:paraId="15BFC8F0" w14:textId="77777777" w:rsidR="00B51CE6" w:rsidRDefault="00B51CE6" w:rsidP="0078568D">
      <w:pPr>
        <w:autoSpaceDE w:val="0"/>
        <w:autoSpaceDN w:val="0"/>
        <w:adjustRightInd w:val="0"/>
        <w:spacing w:after="0" w:line="240" w:lineRule="auto"/>
        <w:rPr>
          <w:rFonts w:ascii="Times New Roman" w:eastAsia="TimesNewRomanPSMT" w:hAnsi="Times New Roman"/>
          <w:sz w:val="24"/>
          <w:szCs w:val="24"/>
          <w:lang w:eastAsia="ru-RU"/>
        </w:rPr>
      </w:pPr>
      <w:r w:rsidRPr="00B51CE6">
        <w:rPr>
          <w:rFonts w:ascii="Times New Roman" w:eastAsia="TimesNewRomanPSMT" w:hAnsi="Times New Roman"/>
          <w:sz w:val="24"/>
          <w:szCs w:val="24"/>
          <w:lang w:eastAsia="ru-RU"/>
        </w:rPr>
        <w:lastRenderedPageBreak/>
        <w:t>углерода диоксид</w:t>
      </w:r>
    </w:p>
    <w:p w14:paraId="798C671E" w14:textId="77777777" w:rsidR="00B51CE6" w:rsidRDefault="00B51CE6" w:rsidP="0078568D">
      <w:pPr>
        <w:autoSpaceDE w:val="0"/>
        <w:autoSpaceDN w:val="0"/>
        <w:adjustRightInd w:val="0"/>
        <w:spacing w:after="0" w:line="240" w:lineRule="auto"/>
        <w:rPr>
          <w:rFonts w:ascii="Times New Roman" w:eastAsia="TimesNewRomanPSMT" w:hAnsi="Times New Roman"/>
          <w:sz w:val="24"/>
          <w:szCs w:val="24"/>
          <w:lang w:eastAsia="ru-RU"/>
        </w:rPr>
      </w:pPr>
      <w:r w:rsidRPr="00B51CE6">
        <w:rPr>
          <w:rFonts w:ascii="Times New Roman" w:eastAsia="TimesNewRomanPSMT" w:hAnsi="Times New Roman"/>
          <w:sz w:val="24"/>
          <w:szCs w:val="24"/>
          <w:lang w:eastAsia="ru-RU"/>
        </w:rPr>
        <w:t>кислота хлороводородная концентрированная</w:t>
      </w:r>
    </w:p>
    <w:p w14:paraId="1A5CD220" w14:textId="77777777" w:rsidR="00B51CE6" w:rsidRDefault="00B51CE6" w:rsidP="0078568D">
      <w:pPr>
        <w:autoSpaceDE w:val="0"/>
        <w:autoSpaceDN w:val="0"/>
        <w:adjustRightInd w:val="0"/>
        <w:spacing w:after="0" w:line="240" w:lineRule="auto"/>
        <w:rPr>
          <w:rFonts w:ascii="Times New Roman" w:eastAsia="TimesNewRomanPSMT" w:hAnsi="Times New Roman"/>
          <w:sz w:val="24"/>
          <w:szCs w:val="24"/>
          <w:lang w:eastAsia="ru-RU"/>
        </w:rPr>
      </w:pPr>
      <w:r w:rsidRPr="00B51CE6">
        <w:rPr>
          <w:rFonts w:ascii="Times New Roman" w:eastAsia="TimesNewRomanPSMT" w:hAnsi="Times New Roman"/>
          <w:sz w:val="24"/>
          <w:szCs w:val="24"/>
          <w:lang w:eastAsia="ru-RU"/>
        </w:rPr>
        <w:t xml:space="preserve">натрия гидроксид </w:t>
      </w:r>
    </w:p>
    <w:p w14:paraId="75F5E293" w14:textId="4E8F5AAD" w:rsidR="00B51CE6" w:rsidRDefault="00B51CE6" w:rsidP="0078568D">
      <w:pPr>
        <w:autoSpaceDE w:val="0"/>
        <w:autoSpaceDN w:val="0"/>
        <w:adjustRightInd w:val="0"/>
        <w:spacing w:after="0" w:line="240" w:lineRule="auto"/>
        <w:rPr>
          <w:rFonts w:ascii="Times New Roman" w:eastAsia="TimesNewRomanPSMT" w:hAnsi="Times New Roman"/>
          <w:sz w:val="24"/>
          <w:szCs w:val="24"/>
          <w:lang w:eastAsia="ru-RU"/>
        </w:rPr>
      </w:pPr>
      <w:r w:rsidRPr="00B51CE6">
        <w:rPr>
          <w:rFonts w:ascii="Times New Roman" w:eastAsia="TimesNewRomanPSMT" w:hAnsi="Times New Roman"/>
          <w:sz w:val="24"/>
          <w:szCs w:val="24"/>
          <w:lang w:eastAsia="ru-RU"/>
        </w:rPr>
        <w:t xml:space="preserve">вода для инъекций </w:t>
      </w:r>
    </w:p>
    <w:p w14:paraId="6C969049" w14:textId="77777777" w:rsidR="000E34FB" w:rsidRDefault="000E34FB" w:rsidP="0078568D">
      <w:pPr>
        <w:autoSpaceDE w:val="0"/>
        <w:autoSpaceDN w:val="0"/>
        <w:adjustRightInd w:val="0"/>
        <w:spacing w:after="0" w:line="240" w:lineRule="auto"/>
        <w:rPr>
          <w:rFonts w:ascii="Times New Roman" w:eastAsia="TimesNewRomanPSMT" w:hAnsi="Times New Roman"/>
          <w:sz w:val="24"/>
          <w:szCs w:val="24"/>
          <w:lang w:eastAsia="ru-RU"/>
        </w:rPr>
      </w:pPr>
    </w:p>
    <w:p w14:paraId="75021025" w14:textId="77777777" w:rsidR="00DF3381" w:rsidRPr="00EE5F5F"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EE5F5F">
        <w:rPr>
          <w:rFonts w:ascii="Times New Roman" w:hAnsi="Times New Roman"/>
          <w:b/>
          <w:sz w:val="24"/>
          <w:szCs w:val="24"/>
          <w:lang w:eastAsia="ru-RU"/>
        </w:rPr>
        <w:t xml:space="preserve">6.2. </w:t>
      </w:r>
      <w:r w:rsidRPr="00EE5F5F">
        <w:rPr>
          <w:rFonts w:ascii="Times New Roman" w:eastAsia="TimesNewRomanPSMT" w:hAnsi="Times New Roman"/>
          <w:b/>
          <w:sz w:val="24"/>
          <w:szCs w:val="24"/>
          <w:lang w:eastAsia="ru-RU"/>
        </w:rPr>
        <w:t>Несовместимость</w:t>
      </w:r>
    </w:p>
    <w:p w14:paraId="6B324743" w14:textId="4E9BF8F8" w:rsidR="00935393" w:rsidRDefault="00935393" w:rsidP="00D05346">
      <w:pPr>
        <w:spacing w:after="0" w:line="240" w:lineRule="auto"/>
        <w:ind w:right="-20"/>
        <w:jc w:val="both"/>
        <w:rPr>
          <w:rFonts w:ascii="Times New Roman" w:hAnsi="Times New Roman"/>
          <w:b/>
          <w:i/>
          <w:sz w:val="24"/>
          <w:szCs w:val="24"/>
        </w:rPr>
      </w:pPr>
      <w:r>
        <w:rPr>
          <w:rFonts w:ascii="Times New Roman" w:hAnsi="Times New Roman"/>
          <w:sz w:val="24"/>
          <w:szCs w:val="24"/>
        </w:rPr>
        <w:t>Не используйте</w:t>
      </w:r>
      <w:r w:rsidRPr="00935393">
        <w:rPr>
          <w:rFonts w:ascii="Times New Roman" w:hAnsi="Times New Roman"/>
          <w:sz w:val="24"/>
          <w:szCs w:val="24"/>
        </w:rPr>
        <w:t xml:space="preserve"> </w:t>
      </w:r>
      <w:r>
        <w:rPr>
          <w:rFonts w:ascii="Times New Roman" w:hAnsi="Times New Roman"/>
          <w:sz w:val="24"/>
          <w:szCs w:val="24"/>
        </w:rPr>
        <w:t>растворители</w:t>
      </w:r>
      <w:r w:rsidRPr="00935393">
        <w:rPr>
          <w:rFonts w:ascii="Times New Roman" w:hAnsi="Times New Roman"/>
          <w:sz w:val="24"/>
          <w:szCs w:val="24"/>
        </w:rPr>
        <w:t xml:space="preserve">, </w:t>
      </w:r>
      <w:r>
        <w:rPr>
          <w:rFonts w:ascii="Times New Roman" w:hAnsi="Times New Roman"/>
          <w:sz w:val="24"/>
          <w:szCs w:val="24"/>
        </w:rPr>
        <w:t>содержащие</w:t>
      </w:r>
      <w:r w:rsidRPr="00935393">
        <w:rPr>
          <w:rFonts w:ascii="Times New Roman" w:hAnsi="Times New Roman"/>
          <w:sz w:val="24"/>
          <w:szCs w:val="24"/>
        </w:rPr>
        <w:t xml:space="preserve"> </w:t>
      </w:r>
      <w:r>
        <w:rPr>
          <w:rFonts w:ascii="Times New Roman" w:hAnsi="Times New Roman"/>
          <w:sz w:val="24"/>
          <w:szCs w:val="24"/>
        </w:rPr>
        <w:t>глюкозу</w:t>
      </w:r>
      <w:r w:rsidRPr="00935393">
        <w:rPr>
          <w:rFonts w:ascii="Times New Roman" w:hAnsi="Times New Roman"/>
          <w:sz w:val="24"/>
          <w:szCs w:val="24"/>
        </w:rPr>
        <w:t>, поскольку Касфоцин нестабилен в растворах, содержащих глюкозу. </w:t>
      </w:r>
      <w:r>
        <w:rPr>
          <w:rFonts w:ascii="Times New Roman" w:hAnsi="Times New Roman"/>
          <w:sz w:val="24"/>
          <w:szCs w:val="24"/>
        </w:rPr>
        <w:t>Не</w:t>
      </w:r>
      <w:r w:rsidRPr="00935393">
        <w:rPr>
          <w:rFonts w:ascii="Times New Roman" w:hAnsi="Times New Roman"/>
          <w:sz w:val="24"/>
          <w:szCs w:val="24"/>
        </w:rPr>
        <w:t xml:space="preserve"> </w:t>
      </w:r>
      <w:r>
        <w:rPr>
          <w:rFonts w:ascii="Times New Roman" w:hAnsi="Times New Roman"/>
          <w:sz w:val="24"/>
          <w:szCs w:val="24"/>
        </w:rPr>
        <w:t>смешивайте</w:t>
      </w:r>
      <w:r w:rsidRPr="00935393">
        <w:rPr>
          <w:rFonts w:ascii="Times New Roman" w:hAnsi="Times New Roman"/>
          <w:sz w:val="24"/>
          <w:szCs w:val="24"/>
        </w:rPr>
        <w:t xml:space="preserve"> </w:t>
      </w:r>
      <w:r>
        <w:rPr>
          <w:rFonts w:ascii="Times New Roman" w:hAnsi="Times New Roman"/>
          <w:sz w:val="24"/>
          <w:szCs w:val="24"/>
        </w:rPr>
        <w:t>и</w:t>
      </w:r>
      <w:r w:rsidRPr="00935393">
        <w:rPr>
          <w:rFonts w:ascii="Times New Roman" w:hAnsi="Times New Roman"/>
          <w:sz w:val="24"/>
          <w:szCs w:val="24"/>
        </w:rPr>
        <w:t xml:space="preserve"> </w:t>
      </w:r>
      <w:r>
        <w:rPr>
          <w:rFonts w:ascii="Times New Roman" w:hAnsi="Times New Roman"/>
          <w:sz w:val="24"/>
          <w:szCs w:val="24"/>
        </w:rPr>
        <w:t>не</w:t>
      </w:r>
      <w:r w:rsidRPr="00935393">
        <w:rPr>
          <w:rFonts w:ascii="Times New Roman" w:hAnsi="Times New Roman"/>
          <w:sz w:val="24"/>
          <w:szCs w:val="24"/>
        </w:rPr>
        <w:t xml:space="preserve"> </w:t>
      </w:r>
      <w:r>
        <w:rPr>
          <w:rFonts w:ascii="Times New Roman" w:hAnsi="Times New Roman"/>
          <w:sz w:val="24"/>
          <w:szCs w:val="24"/>
        </w:rPr>
        <w:t>вводите</w:t>
      </w:r>
      <w:r w:rsidRPr="00935393">
        <w:rPr>
          <w:rFonts w:ascii="Times New Roman" w:hAnsi="Times New Roman"/>
          <w:sz w:val="24"/>
          <w:szCs w:val="24"/>
        </w:rPr>
        <w:t xml:space="preserve"> </w:t>
      </w:r>
      <w:r>
        <w:rPr>
          <w:rFonts w:ascii="Times New Roman" w:hAnsi="Times New Roman"/>
          <w:sz w:val="24"/>
          <w:szCs w:val="24"/>
        </w:rPr>
        <w:t>одновременно</w:t>
      </w:r>
      <w:r w:rsidRPr="00935393">
        <w:rPr>
          <w:rFonts w:ascii="Times New Roman" w:hAnsi="Times New Roman"/>
          <w:sz w:val="24"/>
          <w:szCs w:val="24"/>
        </w:rPr>
        <w:t xml:space="preserve"> </w:t>
      </w:r>
      <w:r>
        <w:rPr>
          <w:rFonts w:ascii="Times New Roman" w:hAnsi="Times New Roman"/>
          <w:sz w:val="24"/>
          <w:szCs w:val="24"/>
        </w:rPr>
        <w:t>Касфоцин</w:t>
      </w:r>
      <w:r w:rsidRPr="00935393">
        <w:rPr>
          <w:rFonts w:ascii="Times New Roman" w:hAnsi="Times New Roman"/>
          <w:sz w:val="24"/>
          <w:szCs w:val="24"/>
        </w:rPr>
        <w:t xml:space="preserve"> </w:t>
      </w:r>
      <w:r>
        <w:rPr>
          <w:rFonts w:ascii="Times New Roman" w:hAnsi="Times New Roman"/>
          <w:sz w:val="24"/>
          <w:szCs w:val="24"/>
        </w:rPr>
        <w:t>с</w:t>
      </w:r>
      <w:r w:rsidRPr="00935393">
        <w:rPr>
          <w:rFonts w:ascii="Times New Roman" w:hAnsi="Times New Roman"/>
          <w:sz w:val="24"/>
          <w:szCs w:val="24"/>
        </w:rPr>
        <w:t xml:space="preserve"> </w:t>
      </w:r>
      <w:r>
        <w:rPr>
          <w:rFonts w:ascii="Times New Roman" w:hAnsi="Times New Roman"/>
          <w:sz w:val="24"/>
          <w:szCs w:val="24"/>
        </w:rPr>
        <w:t>любыми</w:t>
      </w:r>
      <w:r w:rsidRPr="00935393">
        <w:rPr>
          <w:rFonts w:ascii="Times New Roman" w:hAnsi="Times New Roman"/>
          <w:sz w:val="24"/>
          <w:szCs w:val="24"/>
        </w:rPr>
        <w:t xml:space="preserve"> </w:t>
      </w:r>
      <w:r>
        <w:rPr>
          <w:rFonts w:ascii="Times New Roman" w:hAnsi="Times New Roman"/>
          <w:sz w:val="24"/>
          <w:szCs w:val="24"/>
        </w:rPr>
        <w:t>другими</w:t>
      </w:r>
      <w:r w:rsidRPr="00935393">
        <w:rPr>
          <w:rFonts w:ascii="Times New Roman" w:hAnsi="Times New Roman"/>
          <w:sz w:val="24"/>
          <w:szCs w:val="24"/>
        </w:rPr>
        <w:t xml:space="preserve"> </w:t>
      </w:r>
      <w:r>
        <w:rPr>
          <w:rFonts w:ascii="Times New Roman" w:hAnsi="Times New Roman"/>
          <w:sz w:val="24"/>
          <w:szCs w:val="24"/>
        </w:rPr>
        <w:t>лекарственными</w:t>
      </w:r>
      <w:r w:rsidRPr="00935393">
        <w:rPr>
          <w:rFonts w:ascii="Times New Roman" w:hAnsi="Times New Roman"/>
          <w:sz w:val="24"/>
          <w:szCs w:val="24"/>
        </w:rPr>
        <w:t xml:space="preserve"> </w:t>
      </w:r>
      <w:r>
        <w:rPr>
          <w:rFonts w:ascii="Times New Roman" w:hAnsi="Times New Roman"/>
          <w:sz w:val="24"/>
          <w:szCs w:val="24"/>
        </w:rPr>
        <w:t>препаратами</w:t>
      </w:r>
      <w:r w:rsidRPr="00935393">
        <w:rPr>
          <w:rFonts w:ascii="Times New Roman" w:hAnsi="Times New Roman"/>
          <w:sz w:val="24"/>
          <w:szCs w:val="24"/>
        </w:rPr>
        <w:t>, так как нет данных о совместимости Касфоцина с другими внутривенными субстанциями, добавками или лекарственными средствами. Визуально проверьте раствор для инфузии на наличие твердых частиц или изменение цвета.</w:t>
      </w:r>
      <w:r w:rsidR="00D05346">
        <w:rPr>
          <w:rFonts w:ascii="Times New Roman" w:hAnsi="Times New Roman"/>
          <w:b/>
          <w:i/>
          <w:sz w:val="24"/>
          <w:szCs w:val="24"/>
        </w:rPr>
        <w:t xml:space="preserve"> </w:t>
      </w:r>
    </w:p>
    <w:p w14:paraId="50AB169D" w14:textId="77777777" w:rsidR="000E34FB" w:rsidRPr="00D05346" w:rsidRDefault="000E34FB" w:rsidP="00D05346">
      <w:pPr>
        <w:spacing w:after="0" w:line="240" w:lineRule="auto"/>
        <w:ind w:right="-20"/>
        <w:jc w:val="both"/>
        <w:rPr>
          <w:rFonts w:ascii="Times New Roman" w:hAnsi="Times New Roman"/>
          <w:b/>
          <w:i/>
          <w:sz w:val="24"/>
          <w:szCs w:val="24"/>
        </w:rPr>
      </w:pPr>
    </w:p>
    <w:p w14:paraId="02E4BDDE" w14:textId="77777777" w:rsidR="009128A3" w:rsidRPr="00EE5F5F" w:rsidRDefault="009128A3" w:rsidP="0078568D">
      <w:pPr>
        <w:spacing w:after="0" w:line="240" w:lineRule="auto"/>
        <w:jc w:val="both"/>
        <w:rPr>
          <w:rFonts w:ascii="Times New Roman" w:hAnsi="Times New Roman"/>
          <w:b/>
          <w:sz w:val="24"/>
          <w:szCs w:val="24"/>
          <w:lang w:bidi="ru-RU"/>
        </w:rPr>
      </w:pPr>
      <w:r w:rsidRPr="00EE5F5F">
        <w:rPr>
          <w:rFonts w:ascii="Times New Roman" w:hAnsi="Times New Roman"/>
          <w:b/>
          <w:sz w:val="24"/>
          <w:szCs w:val="24"/>
          <w:lang w:bidi="ru-RU"/>
        </w:rPr>
        <w:t>6.3</w:t>
      </w:r>
      <w:r w:rsidRPr="00EE5F5F">
        <w:rPr>
          <w:rFonts w:ascii="Times New Roman" w:hAnsi="Times New Roman"/>
          <w:sz w:val="24"/>
          <w:szCs w:val="24"/>
          <w:lang w:bidi="ru-RU"/>
        </w:rPr>
        <w:t xml:space="preserve"> </w:t>
      </w:r>
      <w:r w:rsidRPr="00EE5F5F">
        <w:rPr>
          <w:rFonts w:ascii="Times New Roman" w:hAnsi="Times New Roman"/>
          <w:b/>
          <w:sz w:val="24"/>
          <w:szCs w:val="24"/>
          <w:lang w:bidi="ru-RU"/>
        </w:rPr>
        <w:t>Срок годности</w:t>
      </w:r>
    </w:p>
    <w:p w14:paraId="1C54B01D" w14:textId="77777777" w:rsidR="00D05346" w:rsidRDefault="00D05346" w:rsidP="0078568D">
      <w:pPr>
        <w:spacing w:after="0" w:line="240" w:lineRule="auto"/>
        <w:jc w:val="both"/>
        <w:rPr>
          <w:rFonts w:ascii="Times New Roman" w:hAnsi="Times New Roman"/>
          <w:sz w:val="24"/>
          <w:szCs w:val="24"/>
          <w:lang w:bidi="ru-RU"/>
        </w:rPr>
      </w:pPr>
      <w:r w:rsidRPr="00D05346">
        <w:rPr>
          <w:rFonts w:ascii="Times New Roman" w:hAnsi="Times New Roman"/>
          <w:sz w:val="24"/>
          <w:szCs w:val="24"/>
          <w:lang w:bidi="ru-RU"/>
        </w:rPr>
        <w:t>2 года</w:t>
      </w:r>
    </w:p>
    <w:p w14:paraId="77F5006E" w14:textId="6DD8B134" w:rsidR="00CE03ED" w:rsidRDefault="00CE03ED" w:rsidP="0078568D">
      <w:pPr>
        <w:spacing w:after="0" w:line="240" w:lineRule="auto"/>
        <w:jc w:val="both"/>
        <w:rPr>
          <w:rFonts w:ascii="Times New Roman" w:hAnsi="Times New Roman"/>
          <w:sz w:val="24"/>
          <w:szCs w:val="24"/>
          <w:lang w:bidi="ru-RU"/>
        </w:rPr>
      </w:pPr>
      <w:r w:rsidRPr="00EE5F5F">
        <w:rPr>
          <w:rFonts w:ascii="Times New Roman" w:hAnsi="Times New Roman"/>
          <w:sz w:val="24"/>
          <w:szCs w:val="24"/>
          <w:lang w:bidi="ru-RU"/>
        </w:rPr>
        <w:t>Не применять по истечении срока годности.</w:t>
      </w:r>
    </w:p>
    <w:p w14:paraId="2D130B0F" w14:textId="77777777" w:rsidR="000E34FB" w:rsidRPr="00EE5F5F" w:rsidRDefault="000E34FB" w:rsidP="0078568D">
      <w:pPr>
        <w:spacing w:after="0" w:line="240" w:lineRule="auto"/>
        <w:jc w:val="both"/>
        <w:rPr>
          <w:rFonts w:ascii="Times New Roman" w:hAnsi="Times New Roman"/>
          <w:sz w:val="24"/>
          <w:szCs w:val="24"/>
        </w:rPr>
      </w:pPr>
    </w:p>
    <w:p w14:paraId="0D1E8023" w14:textId="77777777" w:rsidR="00632571" w:rsidRPr="00EE5F5F" w:rsidRDefault="00632571" w:rsidP="0078568D">
      <w:pPr>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eastAsia="ru-RU"/>
        </w:rPr>
        <w:t xml:space="preserve">6.4 </w:t>
      </w:r>
      <w:r w:rsidRPr="00EE5F5F">
        <w:rPr>
          <w:rFonts w:ascii="Times New Roman" w:hAnsi="Times New Roman"/>
          <w:b/>
          <w:sz w:val="24"/>
          <w:szCs w:val="24"/>
          <w:lang w:bidi="ru-RU"/>
        </w:rPr>
        <w:t xml:space="preserve">Особые </w:t>
      </w:r>
      <w:r w:rsidRPr="00EE5F5F">
        <w:rPr>
          <w:rFonts w:ascii="Times New Roman" w:eastAsia="Times New Roman" w:hAnsi="Times New Roman"/>
          <w:b/>
          <w:sz w:val="24"/>
          <w:szCs w:val="24"/>
          <w:lang w:eastAsia="ru-RU"/>
        </w:rPr>
        <w:t>меры предосторожности при хранении</w:t>
      </w:r>
    </w:p>
    <w:p w14:paraId="66268213" w14:textId="77777777" w:rsidR="00D05346" w:rsidRPr="00D05346" w:rsidRDefault="00D05346" w:rsidP="00D05346">
      <w:pPr>
        <w:spacing w:after="0" w:line="240" w:lineRule="auto"/>
        <w:jc w:val="both"/>
        <w:rPr>
          <w:rFonts w:ascii="Times New Roman" w:hAnsi="Times New Roman"/>
          <w:sz w:val="24"/>
          <w:szCs w:val="24"/>
        </w:rPr>
      </w:pPr>
      <w:r w:rsidRPr="00D05346">
        <w:rPr>
          <w:rFonts w:ascii="Times New Roman" w:hAnsi="Times New Roman"/>
          <w:sz w:val="24"/>
          <w:szCs w:val="24"/>
        </w:rPr>
        <w:t xml:space="preserve">В сухом, защищённом от света месте, при </w:t>
      </w:r>
      <w:r w:rsidR="00DB2604" w:rsidRPr="00D05346">
        <w:rPr>
          <w:rFonts w:ascii="Times New Roman" w:hAnsi="Times New Roman"/>
          <w:sz w:val="24"/>
          <w:szCs w:val="24"/>
        </w:rPr>
        <w:t>температуре 2</w:t>
      </w:r>
      <w:r w:rsidRPr="00D05346">
        <w:rPr>
          <w:rFonts w:ascii="Times New Roman" w:hAnsi="Times New Roman"/>
          <w:sz w:val="24"/>
          <w:szCs w:val="24"/>
        </w:rPr>
        <w:t>-8</w:t>
      </w:r>
      <w:r w:rsidR="00297498">
        <w:rPr>
          <w:rFonts w:ascii="Times New Roman" w:hAnsi="Times New Roman"/>
          <w:sz w:val="24"/>
          <w:szCs w:val="24"/>
        </w:rPr>
        <w:t xml:space="preserve"> </w:t>
      </w:r>
      <w:r w:rsidRPr="00D05346">
        <w:rPr>
          <w:rFonts w:ascii="Times New Roman" w:hAnsi="Times New Roman"/>
          <w:sz w:val="24"/>
          <w:szCs w:val="24"/>
          <w:vertAlign w:val="superscript"/>
        </w:rPr>
        <w:t>0</w:t>
      </w:r>
      <w:r w:rsidRPr="00D05346">
        <w:rPr>
          <w:rFonts w:ascii="Times New Roman" w:hAnsi="Times New Roman"/>
          <w:sz w:val="24"/>
          <w:szCs w:val="24"/>
        </w:rPr>
        <w:t xml:space="preserve">С. </w:t>
      </w:r>
    </w:p>
    <w:p w14:paraId="6E58F80E" w14:textId="77777777" w:rsidR="00D05346" w:rsidRPr="00D05346" w:rsidRDefault="00D05346" w:rsidP="00D05346">
      <w:pPr>
        <w:spacing w:after="0" w:line="240" w:lineRule="auto"/>
        <w:jc w:val="both"/>
        <w:rPr>
          <w:rFonts w:ascii="Times New Roman" w:hAnsi="Times New Roman"/>
          <w:sz w:val="24"/>
          <w:szCs w:val="24"/>
        </w:rPr>
      </w:pPr>
      <w:r w:rsidRPr="00D05346">
        <w:rPr>
          <w:rFonts w:ascii="Times New Roman" w:hAnsi="Times New Roman"/>
          <w:sz w:val="24"/>
          <w:szCs w:val="24"/>
        </w:rPr>
        <w:t>Восстановленный первичный раствор в воде для инъекций или растворе Рингера хранить при температуре не выше 25</w:t>
      </w:r>
      <w:r w:rsidR="00297498">
        <w:rPr>
          <w:rFonts w:ascii="Times New Roman" w:hAnsi="Times New Roman"/>
          <w:sz w:val="24"/>
          <w:szCs w:val="24"/>
        </w:rPr>
        <w:t xml:space="preserve"> </w:t>
      </w:r>
      <w:r w:rsidRPr="00D05346">
        <w:rPr>
          <w:rFonts w:ascii="Times New Roman" w:hAnsi="Times New Roman"/>
          <w:sz w:val="24"/>
          <w:szCs w:val="24"/>
          <w:vertAlign w:val="superscript"/>
        </w:rPr>
        <w:t>0</w:t>
      </w:r>
      <w:r w:rsidRPr="00D05346">
        <w:rPr>
          <w:rFonts w:ascii="Times New Roman" w:hAnsi="Times New Roman"/>
          <w:sz w:val="24"/>
          <w:szCs w:val="24"/>
        </w:rPr>
        <w:t>С не более 24 ч.</w:t>
      </w:r>
    </w:p>
    <w:p w14:paraId="6631132A" w14:textId="77777777" w:rsidR="00D05346" w:rsidRPr="00D05346" w:rsidRDefault="00D05346" w:rsidP="00D05346">
      <w:pPr>
        <w:spacing w:after="0" w:line="240" w:lineRule="auto"/>
        <w:jc w:val="both"/>
        <w:rPr>
          <w:rFonts w:ascii="Times New Roman" w:hAnsi="Times New Roman"/>
          <w:sz w:val="24"/>
          <w:szCs w:val="24"/>
        </w:rPr>
      </w:pPr>
      <w:r w:rsidRPr="00D05346">
        <w:rPr>
          <w:rFonts w:ascii="Times New Roman" w:hAnsi="Times New Roman"/>
          <w:sz w:val="24"/>
          <w:szCs w:val="24"/>
        </w:rPr>
        <w:t>Восстановленный конечный инфузионный раствор в воде для инъекций или растворе Рингера хранить при температуре не выше 25</w:t>
      </w:r>
      <w:r w:rsidR="00297498">
        <w:rPr>
          <w:rFonts w:ascii="Times New Roman" w:hAnsi="Times New Roman"/>
          <w:sz w:val="24"/>
          <w:szCs w:val="24"/>
        </w:rPr>
        <w:t xml:space="preserve"> </w:t>
      </w:r>
      <w:r w:rsidRPr="00D05346">
        <w:rPr>
          <w:rFonts w:ascii="Times New Roman" w:hAnsi="Times New Roman"/>
          <w:sz w:val="24"/>
          <w:szCs w:val="24"/>
          <w:vertAlign w:val="superscript"/>
        </w:rPr>
        <w:t>0</w:t>
      </w:r>
      <w:r w:rsidRPr="00D05346">
        <w:rPr>
          <w:rFonts w:ascii="Times New Roman" w:hAnsi="Times New Roman"/>
          <w:sz w:val="24"/>
          <w:szCs w:val="24"/>
        </w:rPr>
        <w:t>С не более 24 ч и при температуре хранения 2-8</w:t>
      </w:r>
      <w:r w:rsidR="00297498">
        <w:rPr>
          <w:rFonts w:ascii="Times New Roman" w:hAnsi="Times New Roman"/>
          <w:sz w:val="24"/>
          <w:szCs w:val="24"/>
        </w:rPr>
        <w:t xml:space="preserve"> </w:t>
      </w:r>
      <w:r w:rsidRPr="00D05346">
        <w:rPr>
          <w:rFonts w:ascii="Times New Roman" w:hAnsi="Times New Roman"/>
          <w:sz w:val="24"/>
          <w:szCs w:val="24"/>
          <w:vertAlign w:val="superscript"/>
        </w:rPr>
        <w:t>0</w:t>
      </w:r>
      <w:r w:rsidRPr="00D05346">
        <w:rPr>
          <w:rFonts w:ascii="Times New Roman" w:hAnsi="Times New Roman"/>
          <w:sz w:val="24"/>
          <w:szCs w:val="24"/>
        </w:rPr>
        <w:t xml:space="preserve">С не более 48 ч. </w:t>
      </w:r>
    </w:p>
    <w:p w14:paraId="03B9299F" w14:textId="1FB20867" w:rsidR="00D05346" w:rsidRDefault="00D05346" w:rsidP="00D05346">
      <w:pPr>
        <w:spacing w:after="0" w:line="240" w:lineRule="auto"/>
        <w:jc w:val="both"/>
        <w:rPr>
          <w:rFonts w:ascii="Times New Roman" w:hAnsi="Times New Roman"/>
          <w:sz w:val="24"/>
          <w:szCs w:val="24"/>
        </w:rPr>
      </w:pPr>
      <w:r w:rsidRPr="00D05346">
        <w:rPr>
          <w:rFonts w:ascii="Times New Roman" w:hAnsi="Times New Roman"/>
          <w:sz w:val="24"/>
          <w:szCs w:val="24"/>
        </w:rPr>
        <w:t>Хранить в недоступном для детей месте!</w:t>
      </w:r>
    </w:p>
    <w:p w14:paraId="0BF91649" w14:textId="77777777" w:rsidR="000E34FB" w:rsidRDefault="000E34FB" w:rsidP="00D05346">
      <w:pPr>
        <w:spacing w:after="0" w:line="240" w:lineRule="auto"/>
        <w:jc w:val="both"/>
        <w:rPr>
          <w:rFonts w:ascii="Times New Roman" w:hAnsi="Times New Roman"/>
          <w:sz w:val="24"/>
          <w:szCs w:val="24"/>
        </w:rPr>
      </w:pPr>
    </w:p>
    <w:p w14:paraId="717E79CC" w14:textId="77777777" w:rsidR="00B90A1E" w:rsidRPr="00EE5F5F" w:rsidRDefault="00EC480E" w:rsidP="0078568D">
      <w:pPr>
        <w:autoSpaceDE w:val="0"/>
        <w:autoSpaceDN w:val="0"/>
        <w:adjustRightInd w:val="0"/>
        <w:spacing w:after="0" w:line="240" w:lineRule="auto"/>
        <w:rPr>
          <w:rFonts w:ascii="Times New Roman" w:eastAsia="TimesNewRomanPSMT" w:hAnsi="Times New Roman"/>
          <w:b/>
          <w:sz w:val="24"/>
          <w:szCs w:val="24"/>
          <w:lang w:eastAsia="ru-RU"/>
        </w:rPr>
      </w:pPr>
      <w:r w:rsidRPr="00EE5F5F">
        <w:rPr>
          <w:rFonts w:ascii="Times New Roman" w:hAnsi="Times New Roman"/>
          <w:b/>
          <w:sz w:val="24"/>
          <w:szCs w:val="24"/>
          <w:lang w:eastAsia="ru-RU"/>
        </w:rPr>
        <w:t>6.5</w:t>
      </w:r>
      <w:r w:rsidR="00B90A1E" w:rsidRPr="00EE5F5F">
        <w:rPr>
          <w:rFonts w:ascii="Times New Roman" w:hAnsi="Times New Roman"/>
          <w:b/>
          <w:sz w:val="24"/>
          <w:szCs w:val="24"/>
          <w:lang w:eastAsia="ru-RU"/>
        </w:rPr>
        <w:t xml:space="preserve"> </w:t>
      </w:r>
      <w:r w:rsidR="00416507" w:rsidRPr="00EE5F5F">
        <w:rPr>
          <w:rFonts w:ascii="Times New Roman" w:eastAsia="TimesNewRomanPSMT" w:hAnsi="Times New Roman"/>
          <w:b/>
          <w:sz w:val="24"/>
          <w:szCs w:val="24"/>
          <w:lang w:eastAsia="ru-RU"/>
        </w:rPr>
        <w:t>Форма выпуска и упаковка</w:t>
      </w:r>
      <w:r w:rsidR="00B90A1E" w:rsidRPr="00EE5F5F">
        <w:rPr>
          <w:rFonts w:ascii="Times New Roman" w:eastAsia="TimesNewRomanPSMT" w:hAnsi="Times New Roman"/>
          <w:b/>
          <w:sz w:val="24"/>
          <w:szCs w:val="24"/>
          <w:lang w:eastAsia="ru-RU"/>
        </w:rPr>
        <w:t xml:space="preserve"> </w:t>
      </w:r>
    </w:p>
    <w:p w14:paraId="1C137A6D" w14:textId="77777777" w:rsidR="00493B9C" w:rsidRPr="00493B9C" w:rsidRDefault="00493B9C" w:rsidP="00493B9C">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493B9C">
        <w:rPr>
          <w:rFonts w:ascii="Times New Roman" w:eastAsia="Microsoft Sans Serif" w:hAnsi="Times New Roman"/>
          <w:sz w:val="24"/>
          <w:szCs w:val="24"/>
          <w:lang w:eastAsia="ru-RU" w:bidi="ru-RU"/>
        </w:rPr>
        <w:t>Лиофилизат для приготовления концентрата, предназначенного для получения раствора для инфузий, 50 мг.</w:t>
      </w:r>
    </w:p>
    <w:p w14:paraId="324C700E" w14:textId="77777777" w:rsidR="00493B9C" w:rsidRPr="00493B9C" w:rsidRDefault="00493B9C" w:rsidP="00493B9C">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493B9C">
        <w:rPr>
          <w:rFonts w:ascii="Times New Roman" w:eastAsia="Microsoft Sans Serif" w:hAnsi="Times New Roman"/>
          <w:sz w:val="24"/>
          <w:szCs w:val="24"/>
          <w:lang w:eastAsia="ru-RU" w:bidi="ru-RU"/>
        </w:rPr>
        <w:t>Препарат помещают во флаконы из бесцветного стекла вместимостью 10 мл (тип I), укупоренные пробками резиновыми и обжатые алюминиевыми колпачками с пластмассовыми крышками типа флип-офф.</w:t>
      </w:r>
    </w:p>
    <w:p w14:paraId="3973955D" w14:textId="0C8D8F21" w:rsidR="00493B9C" w:rsidRDefault="00493B9C" w:rsidP="00493B9C">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493B9C">
        <w:rPr>
          <w:rFonts w:ascii="Times New Roman" w:eastAsia="Microsoft Sans Serif" w:hAnsi="Times New Roman"/>
          <w:sz w:val="24"/>
          <w:szCs w:val="24"/>
          <w:lang w:eastAsia="ru-RU" w:bidi="ru-RU"/>
        </w:rPr>
        <w:t xml:space="preserve">По 1 флакону вместе с инструкцией по медицинскому применению на </w:t>
      </w:r>
      <w:r w:rsidR="007545AB">
        <w:rPr>
          <w:rFonts w:ascii="Times New Roman" w:eastAsia="Microsoft Sans Serif" w:hAnsi="Times New Roman"/>
          <w:sz w:val="24"/>
          <w:szCs w:val="24"/>
          <w:lang w:eastAsia="ru-RU" w:bidi="ru-RU"/>
        </w:rPr>
        <w:t>казахском</w:t>
      </w:r>
      <w:r w:rsidRPr="00493B9C">
        <w:rPr>
          <w:rFonts w:ascii="Times New Roman" w:eastAsia="Microsoft Sans Serif" w:hAnsi="Times New Roman"/>
          <w:sz w:val="24"/>
          <w:szCs w:val="24"/>
          <w:lang w:eastAsia="ru-RU" w:bidi="ru-RU"/>
        </w:rPr>
        <w:t xml:space="preserve"> и русском языках помещают в пачку из картона.</w:t>
      </w:r>
    </w:p>
    <w:p w14:paraId="2DB8A581" w14:textId="77777777" w:rsidR="000E34FB" w:rsidRDefault="000E34FB" w:rsidP="00493B9C">
      <w:pPr>
        <w:autoSpaceDE w:val="0"/>
        <w:autoSpaceDN w:val="0"/>
        <w:adjustRightInd w:val="0"/>
        <w:spacing w:after="0" w:line="240" w:lineRule="auto"/>
        <w:jc w:val="both"/>
        <w:rPr>
          <w:rFonts w:ascii="Times New Roman" w:eastAsia="Microsoft Sans Serif" w:hAnsi="Times New Roman"/>
          <w:sz w:val="24"/>
          <w:szCs w:val="24"/>
          <w:lang w:eastAsia="ru-RU" w:bidi="ru-RU"/>
        </w:rPr>
      </w:pPr>
    </w:p>
    <w:p w14:paraId="2235E72E" w14:textId="77777777" w:rsidR="00B90A1E" w:rsidRPr="00EE5F5F" w:rsidRDefault="00B90A1E" w:rsidP="00493B9C">
      <w:pPr>
        <w:autoSpaceDE w:val="0"/>
        <w:autoSpaceDN w:val="0"/>
        <w:adjustRightInd w:val="0"/>
        <w:spacing w:after="0" w:line="240" w:lineRule="auto"/>
        <w:jc w:val="both"/>
        <w:rPr>
          <w:rFonts w:ascii="Times New Roman" w:eastAsia="TimesNewRomanPSMT" w:hAnsi="Times New Roman"/>
          <w:b/>
          <w:sz w:val="24"/>
          <w:szCs w:val="24"/>
          <w:lang w:eastAsia="ru-RU"/>
        </w:rPr>
      </w:pPr>
      <w:r w:rsidRPr="00EE5F5F">
        <w:rPr>
          <w:rFonts w:ascii="Times New Roman" w:hAnsi="Times New Roman"/>
          <w:b/>
          <w:sz w:val="24"/>
          <w:szCs w:val="24"/>
          <w:lang w:eastAsia="ru-RU"/>
        </w:rPr>
        <w:t xml:space="preserve">6.6 </w:t>
      </w:r>
      <w:r w:rsidRPr="00EE5F5F">
        <w:rPr>
          <w:rFonts w:ascii="Times New Roman" w:eastAsia="TimesNewRomanPSMT" w:hAnsi="Times New Roman"/>
          <w:b/>
          <w:sz w:val="24"/>
          <w:szCs w:val="24"/>
          <w:lang w:eastAsia="ru-RU"/>
        </w:rPr>
        <w:t>Особые меры предосторожности при уничтожении</w:t>
      </w:r>
      <w:r w:rsidR="00A26BB4" w:rsidRPr="00EE5F5F">
        <w:rPr>
          <w:rFonts w:ascii="Times New Roman" w:eastAsia="TimesNewRomanPSMT" w:hAnsi="Times New Roman"/>
          <w:b/>
          <w:sz w:val="24"/>
          <w:szCs w:val="24"/>
          <w:lang w:eastAsia="ru-RU"/>
        </w:rPr>
        <w:t xml:space="preserve"> </w:t>
      </w:r>
      <w:r w:rsidRPr="00EE5F5F">
        <w:rPr>
          <w:rFonts w:ascii="Times New Roman" w:eastAsia="TimesNewRomanPSMT" w:hAnsi="Times New Roman"/>
          <w:b/>
          <w:sz w:val="24"/>
          <w:szCs w:val="24"/>
          <w:lang w:eastAsia="ru-RU"/>
        </w:rPr>
        <w:t>использованного лекарственного препарата или отходов, полученных</w:t>
      </w:r>
      <w:r w:rsidR="00A26BB4" w:rsidRPr="00EE5F5F">
        <w:rPr>
          <w:rFonts w:ascii="Times New Roman" w:eastAsia="TimesNewRomanPSMT" w:hAnsi="Times New Roman"/>
          <w:b/>
          <w:sz w:val="24"/>
          <w:szCs w:val="24"/>
          <w:lang w:eastAsia="ru-RU"/>
        </w:rPr>
        <w:t xml:space="preserve"> </w:t>
      </w:r>
      <w:r w:rsidRPr="00EE5F5F">
        <w:rPr>
          <w:rFonts w:ascii="Times New Roman" w:eastAsia="TimesNewRomanPSMT" w:hAnsi="Times New Roman"/>
          <w:b/>
          <w:sz w:val="24"/>
          <w:szCs w:val="24"/>
          <w:lang w:eastAsia="ru-RU"/>
        </w:rPr>
        <w:t>после применения лекарственного препарата или работы с ним.</w:t>
      </w:r>
    </w:p>
    <w:p w14:paraId="08F293C0" w14:textId="25924FBE" w:rsidR="00D05346" w:rsidRDefault="00D05346" w:rsidP="0078568D">
      <w:pPr>
        <w:autoSpaceDE w:val="0"/>
        <w:autoSpaceDN w:val="0"/>
        <w:adjustRightInd w:val="0"/>
        <w:spacing w:after="0" w:line="240" w:lineRule="auto"/>
        <w:rPr>
          <w:rFonts w:ascii="Times New Roman" w:hAnsi="Times New Roman"/>
          <w:sz w:val="24"/>
          <w:szCs w:val="24"/>
        </w:rPr>
      </w:pPr>
      <w:r w:rsidRPr="00D05346">
        <w:rPr>
          <w:rFonts w:ascii="Times New Roman" w:hAnsi="Times New Roman"/>
          <w:sz w:val="24"/>
          <w:szCs w:val="24"/>
        </w:rPr>
        <w:t>Любой неиспользованный лекарственный препарат или отходы следует утилизировать в соответствии с местными требованиями.</w:t>
      </w:r>
    </w:p>
    <w:p w14:paraId="7909EB1C" w14:textId="77777777" w:rsidR="000E34FB" w:rsidRDefault="000E34FB" w:rsidP="0078568D">
      <w:pPr>
        <w:autoSpaceDE w:val="0"/>
        <w:autoSpaceDN w:val="0"/>
        <w:adjustRightInd w:val="0"/>
        <w:spacing w:after="0" w:line="240" w:lineRule="auto"/>
        <w:rPr>
          <w:rFonts w:ascii="Times New Roman" w:hAnsi="Times New Roman"/>
          <w:sz w:val="24"/>
          <w:szCs w:val="24"/>
        </w:rPr>
      </w:pPr>
    </w:p>
    <w:p w14:paraId="5D1ADD87" w14:textId="77777777" w:rsidR="00724DB0" w:rsidRPr="00EE5F5F" w:rsidRDefault="004200EA" w:rsidP="0078568D">
      <w:pPr>
        <w:autoSpaceDE w:val="0"/>
        <w:autoSpaceDN w:val="0"/>
        <w:adjustRightInd w:val="0"/>
        <w:spacing w:after="0" w:line="240" w:lineRule="auto"/>
        <w:rPr>
          <w:rFonts w:ascii="Times New Roman" w:hAnsi="Times New Roman"/>
          <w:b/>
          <w:bCs/>
          <w:sz w:val="24"/>
          <w:szCs w:val="24"/>
        </w:rPr>
      </w:pPr>
      <w:r w:rsidRPr="00EE5F5F">
        <w:rPr>
          <w:rFonts w:ascii="Times New Roman" w:hAnsi="Times New Roman"/>
          <w:b/>
          <w:bCs/>
          <w:sz w:val="24"/>
          <w:szCs w:val="24"/>
        </w:rPr>
        <w:t xml:space="preserve">6.7 </w:t>
      </w:r>
      <w:r w:rsidR="005921EA" w:rsidRPr="00EE5F5F">
        <w:rPr>
          <w:rFonts w:ascii="Times New Roman" w:hAnsi="Times New Roman"/>
          <w:b/>
          <w:bCs/>
          <w:sz w:val="24"/>
          <w:szCs w:val="24"/>
        </w:rPr>
        <w:t>Условия о</w:t>
      </w:r>
      <w:r w:rsidRPr="00EE5F5F">
        <w:rPr>
          <w:rFonts w:ascii="Times New Roman" w:hAnsi="Times New Roman"/>
          <w:b/>
          <w:bCs/>
          <w:sz w:val="24"/>
          <w:szCs w:val="24"/>
        </w:rPr>
        <w:t>тпуск</w:t>
      </w:r>
      <w:r w:rsidR="005921EA" w:rsidRPr="00EE5F5F">
        <w:rPr>
          <w:rFonts w:ascii="Times New Roman" w:hAnsi="Times New Roman"/>
          <w:b/>
          <w:bCs/>
          <w:sz w:val="24"/>
          <w:szCs w:val="24"/>
        </w:rPr>
        <w:t>а</w:t>
      </w:r>
      <w:r w:rsidRPr="00EE5F5F">
        <w:rPr>
          <w:rFonts w:ascii="Times New Roman" w:hAnsi="Times New Roman"/>
          <w:b/>
          <w:bCs/>
          <w:sz w:val="24"/>
          <w:szCs w:val="24"/>
        </w:rPr>
        <w:t xml:space="preserve"> из аптек</w:t>
      </w:r>
      <w:r w:rsidR="00D041C3" w:rsidRPr="00EE5F5F">
        <w:rPr>
          <w:rFonts w:ascii="Times New Roman" w:hAnsi="Times New Roman"/>
          <w:b/>
          <w:bCs/>
          <w:sz w:val="24"/>
          <w:szCs w:val="24"/>
        </w:rPr>
        <w:t xml:space="preserve"> </w:t>
      </w:r>
    </w:p>
    <w:p w14:paraId="6AB16765" w14:textId="77777777" w:rsidR="004200EA" w:rsidRPr="00EE5F5F" w:rsidRDefault="00724DB0" w:rsidP="0078568D">
      <w:pPr>
        <w:autoSpaceDE w:val="0"/>
        <w:autoSpaceDN w:val="0"/>
        <w:adjustRightInd w:val="0"/>
        <w:spacing w:after="0" w:line="240" w:lineRule="auto"/>
        <w:rPr>
          <w:rFonts w:ascii="Times New Roman" w:hAnsi="Times New Roman"/>
          <w:bCs/>
          <w:sz w:val="24"/>
          <w:szCs w:val="24"/>
        </w:rPr>
      </w:pPr>
      <w:r w:rsidRPr="00EE5F5F">
        <w:rPr>
          <w:rFonts w:ascii="Times New Roman" w:hAnsi="Times New Roman"/>
          <w:bCs/>
          <w:sz w:val="24"/>
          <w:szCs w:val="24"/>
        </w:rPr>
        <w:t>По рецепту</w:t>
      </w:r>
    </w:p>
    <w:p w14:paraId="32D8885A" w14:textId="77777777" w:rsidR="00D041C3" w:rsidRPr="00EE5F5F" w:rsidRDefault="00D041C3" w:rsidP="0078568D">
      <w:pPr>
        <w:autoSpaceDE w:val="0"/>
        <w:autoSpaceDN w:val="0"/>
        <w:adjustRightInd w:val="0"/>
        <w:spacing w:after="0" w:line="240" w:lineRule="auto"/>
        <w:rPr>
          <w:rFonts w:ascii="Times New Roman" w:hAnsi="Times New Roman"/>
          <w:b/>
          <w:sz w:val="24"/>
          <w:szCs w:val="24"/>
        </w:rPr>
      </w:pPr>
    </w:p>
    <w:p w14:paraId="37F3A56F" w14:textId="77777777" w:rsidR="00120934" w:rsidRPr="00EE5F5F" w:rsidRDefault="008407EF" w:rsidP="0078568D">
      <w:pPr>
        <w:autoSpaceDE w:val="0"/>
        <w:autoSpaceDN w:val="0"/>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val="uk-UA" w:eastAsia="ru-RU"/>
        </w:rPr>
        <w:t>7. ДЕРЖАТЕЛЬ</w:t>
      </w:r>
      <w:r w:rsidRPr="00EE5F5F">
        <w:rPr>
          <w:rFonts w:ascii="Times New Roman" w:eastAsia="Times New Roman" w:hAnsi="Times New Roman"/>
          <w:b/>
          <w:sz w:val="24"/>
          <w:szCs w:val="24"/>
          <w:lang w:eastAsia="ru-RU"/>
        </w:rPr>
        <w:t xml:space="preserve"> РЕГИСТРАЦИОННОГО УДОСТОВЕРЕНИЯ</w:t>
      </w:r>
    </w:p>
    <w:p w14:paraId="191E6AC5" w14:textId="60CC2B9E" w:rsidR="007E5504" w:rsidRPr="001C0A5B" w:rsidRDefault="00493B9C" w:rsidP="00493B9C">
      <w:pPr>
        <w:autoSpaceDE w:val="0"/>
        <w:autoSpaceDN w:val="0"/>
        <w:spacing w:after="0" w:line="240" w:lineRule="auto"/>
        <w:jc w:val="both"/>
        <w:rPr>
          <w:rFonts w:ascii="Times New Roman" w:eastAsia="Microsoft Sans Serif" w:hAnsi="Times New Roman"/>
          <w:sz w:val="24"/>
          <w:szCs w:val="24"/>
          <w:lang w:eastAsia="ru-RU" w:bidi="ru-RU"/>
        </w:rPr>
      </w:pPr>
      <w:r w:rsidRPr="001C0A5B">
        <w:rPr>
          <w:rFonts w:ascii="Times New Roman" w:eastAsia="Microsoft Sans Serif" w:hAnsi="Times New Roman"/>
          <w:sz w:val="24"/>
          <w:szCs w:val="24"/>
          <w:lang w:eastAsia="ru-RU" w:bidi="ru-RU"/>
        </w:rPr>
        <w:t xml:space="preserve">ТОО </w:t>
      </w:r>
      <w:r w:rsidR="0068665F">
        <w:rPr>
          <w:rFonts w:ascii="Times New Roman" w:eastAsia="Microsoft Sans Serif" w:hAnsi="Times New Roman"/>
          <w:sz w:val="24"/>
          <w:szCs w:val="24"/>
          <w:lang w:eastAsia="ru-RU" w:bidi="ru-RU"/>
        </w:rPr>
        <w:t>«</w:t>
      </w:r>
      <w:r w:rsidRPr="001C0A5B">
        <w:rPr>
          <w:rFonts w:ascii="Times New Roman" w:eastAsia="Microsoft Sans Serif" w:hAnsi="Times New Roman"/>
          <w:sz w:val="24"/>
          <w:szCs w:val="24"/>
          <w:lang w:eastAsia="ru-RU" w:bidi="ru-RU"/>
        </w:rPr>
        <w:t>Rogers Pharma</w:t>
      </w:r>
      <w:r w:rsidR="0068665F">
        <w:rPr>
          <w:rFonts w:ascii="Times New Roman" w:eastAsia="Microsoft Sans Serif" w:hAnsi="Times New Roman"/>
          <w:sz w:val="24"/>
          <w:szCs w:val="24"/>
          <w:lang w:eastAsia="ru-RU" w:bidi="ru-RU"/>
        </w:rPr>
        <w:t>»</w:t>
      </w:r>
      <w:r w:rsidRPr="001C0A5B">
        <w:rPr>
          <w:rFonts w:ascii="Times New Roman" w:eastAsia="Microsoft Sans Serif" w:hAnsi="Times New Roman"/>
          <w:sz w:val="24"/>
          <w:szCs w:val="24"/>
          <w:lang w:eastAsia="ru-RU" w:bidi="ru-RU"/>
        </w:rPr>
        <w:t xml:space="preserve">, Казахстан, </w:t>
      </w:r>
    </w:p>
    <w:p w14:paraId="3EF2BA12" w14:textId="77777777" w:rsidR="00493B9C" w:rsidRPr="001C0A5B" w:rsidRDefault="00493B9C" w:rsidP="00493B9C">
      <w:pPr>
        <w:autoSpaceDE w:val="0"/>
        <w:autoSpaceDN w:val="0"/>
        <w:spacing w:after="0" w:line="240" w:lineRule="auto"/>
        <w:jc w:val="both"/>
        <w:rPr>
          <w:rFonts w:ascii="Times New Roman" w:eastAsia="Microsoft Sans Serif" w:hAnsi="Times New Roman"/>
          <w:sz w:val="24"/>
          <w:szCs w:val="24"/>
          <w:lang w:eastAsia="ru-RU" w:bidi="ru-RU"/>
        </w:rPr>
      </w:pPr>
      <w:r w:rsidRPr="001C0A5B">
        <w:rPr>
          <w:rFonts w:ascii="Times New Roman" w:eastAsia="Microsoft Sans Serif" w:hAnsi="Times New Roman"/>
          <w:sz w:val="24"/>
          <w:szCs w:val="24"/>
          <w:lang w:eastAsia="ru-RU" w:bidi="ru-RU"/>
        </w:rPr>
        <w:t xml:space="preserve">050043, г. Алматы, мкр. Мирас, </w:t>
      </w:r>
      <w:r w:rsidR="007545AB" w:rsidRPr="001C0A5B">
        <w:rPr>
          <w:rFonts w:ascii="Times New Roman" w:eastAsia="Microsoft Sans Serif" w:hAnsi="Times New Roman"/>
          <w:sz w:val="24"/>
          <w:szCs w:val="24"/>
          <w:lang w:eastAsia="ru-RU" w:bidi="ru-RU"/>
        </w:rPr>
        <w:t xml:space="preserve">д. </w:t>
      </w:r>
      <w:r w:rsidRPr="001C0A5B">
        <w:rPr>
          <w:rFonts w:ascii="Times New Roman" w:eastAsia="Microsoft Sans Serif" w:hAnsi="Times New Roman"/>
          <w:sz w:val="24"/>
          <w:szCs w:val="24"/>
          <w:lang w:eastAsia="ru-RU" w:bidi="ru-RU"/>
        </w:rPr>
        <w:t>157, н.п. 819</w:t>
      </w:r>
    </w:p>
    <w:p w14:paraId="00D9085A" w14:textId="6878CAAF" w:rsidR="00215CBB" w:rsidRPr="00C45867" w:rsidRDefault="00493B9C" w:rsidP="00493B9C">
      <w:pPr>
        <w:autoSpaceDE w:val="0"/>
        <w:autoSpaceDN w:val="0"/>
        <w:spacing w:after="0" w:line="240" w:lineRule="auto"/>
        <w:jc w:val="both"/>
        <w:rPr>
          <w:rFonts w:ascii="Times New Roman" w:eastAsia="Microsoft Sans Serif" w:hAnsi="Times New Roman"/>
          <w:sz w:val="24"/>
          <w:szCs w:val="24"/>
          <w:lang w:val="en-US" w:eastAsia="ru-RU" w:bidi="ru-RU"/>
        </w:rPr>
      </w:pPr>
      <w:r w:rsidRPr="001C0A5B">
        <w:rPr>
          <w:rFonts w:ascii="Times New Roman" w:eastAsia="Microsoft Sans Serif" w:hAnsi="Times New Roman"/>
          <w:sz w:val="24"/>
          <w:szCs w:val="24"/>
          <w:lang w:eastAsia="ru-RU" w:bidi="ru-RU"/>
        </w:rPr>
        <w:t>Тел</w:t>
      </w:r>
      <w:r w:rsidRPr="00C45867">
        <w:rPr>
          <w:rFonts w:ascii="Times New Roman" w:eastAsia="Microsoft Sans Serif" w:hAnsi="Times New Roman"/>
          <w:sz w:val="24"/>
          <w:szCs w:val="24"/>
          <w:lang w:val="en-US" w:eastAsia="ru-RU" w:bidi="ru-RU"/>
        </w:rPr>
        <w:t xml:space="preserve">. </w:t>
      </w:r>
      <w:r w:rsidR="00236B7C" w:rsidRPr="00F03A88">
        <w:rPr>
          <w:rFonts w:ascii="Times New Roman" w:eastAsia="Microsoft Sans Serif" w:hAnsi="Times New Roman"/>
          <w:sz w:val="24"/>
          <w:szCs w:val="24"/>
          <w:lang w:val="en-US" w:eastAsia="ru-RU" w:bidi="ru-RU"/>
        </w:rPr>
        <w:t xml:space="preserve">+7 </w:t>
      </w:r>
      <w:r w:rsidRPr="00C45867">
        <w:rPr>
          <w:rFonts w:ascii="Times New Roman" w:eastAsia="Microsoft Sans Serif" w:hAnsi="Times New Roman"/>
          <w:sz w:val="24"/>
          <w:szCs w:val="24"/>
          <w:lang w:val="en-US" w:eastAsia="ru-RU" w:bidi="ru-RU"/>
        </w:rPr>
        <w:t xml:space="preserve">(727) 311-81-96/97, </w:t>
      </w:r>
      <w:r w:rsidRPr="001C0A5B">
        <w:rPr>
          <w:rFonts w:ascii="Times New Roman" w:eastAsia="Microsoft Sans Serif" w:hAnsi="Times New Roman"/>
          <w:sz w:val="24"/>
          <w:szCs w:val="24"/>
          <w:lang w:val="en-US" w:eastAsia="ru-RU" w:bidi="ru-RU"/>
        </w:rPr>
        <w:t>e</w:t>
      </w:r>
      <w:r w:rsidRPr="00C45867">
        <w:rPr>
          <w:rFonts w:ascii="Times New Roman" w:eastAsia="Microsoft Sans Serif" w:hAnsi="Times New Roman"/>
          <w:sz w:val="24"/>
          <w:szCs w:val="24"/>
          <w:lang w:val="en-US" w:eastAsia="ru-RU" w:bidi="ru-RU"/>
        </w:rPr>
        <w:t>-</w:t>
      </w:r>
      <w:r w:rsidRPr="001C0A5B">
        <w:rPr>
          <w:rFonts w:ascii="Times New Roman" w:eastAsia="Microsoft Sans Serif" w:hAnsi="Times New Roman"/>
          <w:sz w:val="24"/>
          <w:szCs w:val="24"/>
          <w:lang w:val="en-US" w:eastAsia="ru-RU" w:bidi="ru-RU"/>
        </w:rPr>
        <w:t>mail</w:t>
      </w:r>
      <w:r w:rsidRPr="00C45867">
        <w:rPr>
          <w:rFonts w:ascii="Times New Roman" w:eastAsia="Microsoft Sans Serif" w:hAnsi="Times New Roman"/>
          <w:sz w:val="24"/>
          <w:szCs w:val="24"/>
          <w:lang w:val="en-US" w:eastAsia="ru-RU" w:bidi="ru-RU"/>
        </w:rPr>
        <w:t xml:space="preserve">: </w:t>
      </w:r>
      <w:r w:rsidR="001C0A5B" w:rsidRPr="001C0A5B">
        <w:rPr>
          <w:rFonts w:ascii="Times New Roman" w:eastAsia="Microsoft Sans Serif" w:hAnsi="Times New Roman"/>
          <w:sz w:val="24"/>
          <w:szCs w:val="24"/>
          <w:lang w:val="en-US" w:eastAsia="ru-RU" w:bidi="ru-RU"/>
        </w:rPr>
        <w:t>office</w:t>
      </w:r>
      <w:r w:rsidR="001C0A5B" w:rsidRPr="00C45867">
        <w:rPr>
          <w:rFonts w:ascii="Times New Roman" w:eastAsia="Microsoft Sans Serif" w:hAnsi="Times New Roman"/>
          <w:sz w:val="24"/>
          <w:szCs w:val="24"/>
          <w:lang w:val="en-US" w:eastAsia="ru-RU" w:bidi="ru-RU"/>
        </w:rPr>
        <w:t>.</w:t>
      </w:r>
      <w:r w:rsidR="001C0A5B" w:rsidRPr="001C0A5B">
        <w:rPr>
          <w:rFonts w:ascii="Times New Roman" w:eastAsia="Microsoft Sans Serif" w:hAnsi="Times New Roman"/>
          <w:sz w:val="24"/>
          <w:szCs w:val="24"/>
          <w:lang w:val="en-US" w:eastAsia="ru-RU" w:bidi="ru-RU"/>
        </w:rPr>
        <w:t>secretary</w:t>
      </w:r>
      <w:r w:rsidR="001C0A5B" w:rsidRPr="00C45867">
        <w:rPr>
          <w:rFonts w:ascii="Times New Roman" w:eastAsia="Microsoft Sans Serif" w:hAnsi="Times New Roman"/>
          <w:sz w:val="24"/>
          <w:szCs w:val="24"/>
          <w:lang w:val="en-US" w:eastAsia="ru-RU" w:bidi="ru-RU"/>
        </w:rPr>
        <w:t>@</w:t>
      </w:r>
      <w:r w:rsidR="001C0A5B" w:rsidRPr="001C0A5B">
        <w:rPr>
          <w:rFonts w:ascii="Times New Roman" w:eastAsia="Microsoft Sans Serif" w:hAnsi="Times New Roman"/>
          <w:sz w:val="24"/>
          <w:szCs w:val="24"/>
          <w:lang w:val="en-US" w:eastAsia="ru-RU" w:bidi="ru-RU"/>
        </w:rPr>
        <w:t>rogersgroup</w:t>
      </w:r>
      <w:r w:rsidR="001C0A5B" w:rsidRPr="00C45867">
        <w:rPr>
          <w:rFonts w:ascii="Times New Roman" w:eastAsia="Microsoft Sans Serif" w:hAnsi="Times New Roman"/>
          <w:sz w:val="24"/>
          <w:szCs w:val="24"/>
          <w:lang w:val="en-US" w:eastAsia="ru-RU" w:bidi="ru-RU"/>
        </w:rPr>
        <w:t>.</w:t>
      </w:r>
      <w:r w:rsidR="001C0A5B" w:rsidRPr="001C0A5B">
        <w:rPr>
          <w:rFonts w:ascii="Times New Roman" w:eastAsia="Microsoft Sans Serif" w:hAnsi="Times New Roman"/>
          <w:sz w:val="24"/>
          <w:szCs w:val="24"/>
          <w:lang w:val="en-US" w:eastAsia="ru-RU" w:bidi="ru-RU"/>
        </w:rPr>
        <w:t>in</w:t>
      </w:r>
    </w:p>
    <w:p w14:paraId="212226EF" w14:textId="77777777" w:rsidR="00493B9C" w:rsidRPr="00C45867" w:rsidRDefault="00493B9C" w:rsidP="00493B9C">
      <w:pPr>
        <w:autoSpaceDE w:val="0"/>
        <w:autoSpaceDN w:val="0"/>
        <w:spacing w:after="0" w:line="240" w:lineRule="auto"/>
        <w:jc w:val="both"/>
        <w:rPr>
          <w:rFonts w:ascii="Times New Roman" w:eastAsia="Times New Roman" w:hAnsi="Times New Roman"/>
          <w:b/>
          <w:sz w:val="24"/>
          <w:szCs w:val="24"/>
          <w:lang w:val="en-US" w:eastAsia="ru-RU"/>
        </w:rPr>
      </w:pPr>
    </w:p>
    <w:p w14:paraId="363C682E" w14:textId="77777777" w:rsidR="00593F7B" w:rsidRPr="001C0A5B" w:rsidRDefault="00593F7B" w:rsidP="0078568D">
      <w:pPr>
        <w:autoSpaceDE w:val="0"/>
        <w:autoSpaceDN w:val="0"/>
        <w:spacing w:after="0" w:line="240" w:lineRule="auto"/>
        <w:jc w:val="both"/>
        <w:rPr>
          <w:rFonts w:ascii="Times New Roman" w:eastAsia="Times New Roman" w:hAnsi="Times New Roman"/>
          <w:b/>
          <w:sz w:val="24"/>
          <w:szCs w:val="24"/>
          <w:lang w:val="uk-UA" w:eastAsia="ru-RU"/>
        </w:rPr>
      </w:pPr>
      <w:r w:rsidRPr="001C0A5B">
        <w:rPr>
          <w:rFonts w:ascii="Times New Roman" w:eastAsia="Times New Roman" w:hAnsi="Times New Roman"/>
          <w:b/>
          <w:sz w:val="24"/>
          <w:szCs w:val="24"/>
          <w:lang w:val="uk-UA" w:eastAsia="ru-RU"/>
        </w:rPr>
        <w:t>7.1. ПРЕДСТАВИТЕЛЬ ДЕРЖАТЕЛЯ РЕГИСТРАЦИОННОГО УДОСТОВЕРЕНИЯ</w:t>
      </w:r>
    </w:p>
    <w:p w14:paraId="46758B62" w14:textId="6EC24B5C" w:rsidR="007E5504" w:rsidRPr="001C0A5B" w:rsidRDefault="00493B9C" w:rsidP="00493B9C">
      <w:pPr>
        <w:autoSpaceDE w:val="0"/>
        <w:autoSpaceDN w:val="0"/>
        <w:spacing w:after="0" w:line="240" w:lineRule="auto"/>
        <w:jc w:val="both"/>
        <w:rPr>
          <w:rFonts w:ascii="Times New Roman" w:eastAsia="Microsoft Sans Serif" w:hAnsi="Times New Roman"/>
          <w:sz w:val="24"/>
          <w:szCs w:val="24"/>
          <w:lang w:eastAsia="ru-RU" w:bidi="ru-RU"/>
        </w:rPr>
      </w:pPr>
      <w:r w:rsidRPr="001C0A5B">
        <w:rPr>
          <w:rFonts w:ascii="Times New Roman" w:eastAsia="Microsoft Sans Serif" w:hAnsi="Times New Roman"/>
          <w:sz w:val="24"/>
          <w:szCs w:val="24"/>
          <w:lang w:eastAsia="ru-RU" w:bidi="ru-RU"/>
        </w:rPr>
        <w:t xml:space="preserve">ТОО </w:t>
      </w:r>
      <w:r w:rsidR="00F42C5B">
        <w:rPr>
          <w:rFonts w:ascii="Times New Roman" w:eastAsia="Microsoft Sans Serif" w:hAnsi="Times New Roman"/>
          <w:sz w:val="24"/>
          <w:szCs w:val="24"/>
          <w:lang w:eastAsia="ru-RU" w:bidi="ru-RU"/>
        </w:rPr>
        <w:t>«</w:t>
      </w:r>
      <w:r w:rsidRPr="001C0A5B">
        <w:rPr>
          <w:rFonts w:ascii="Times New Roman" w:eastAsia="Microsoft Sans Serif" w:hAnsi="Times New Roman"/>
          <w:sz w:val="24"/>
          <w:szCs w:val="24"/>
          <w:lang w:eastAsia="ru-RU" w:bidi="ru-RU"/>
        </w:rPr>
        <w:t>Rogers Pharma</w:t>
      </w:r>
      <w:r w:rsidR="00F42C5B">
        <w:rPr>
          <w:rFonts w:ascii="Times New Roman" w:eastAsia="Microsoft Sans Serif" w:hAnsi="Times New Roman"/>
          <w:sz w:val="24"/>
          <w:szCs w:val="24"/>
          <w:lang w:eastAsia="ru-RU" w:bidi="ru-RU"/>
        </w:rPr>
        <w:t>»</w:t>
      </w:r>
      <w:r w:rsidRPr="001C0A5B">
        <w:rPr>
          <w:rFonts w:ascii="Times New Roman" w:eastAsia="Microsoft Sans Serif" w:hAnsi="Times New Roman"/>
          <w:sz w:val="24"/>
          <w:szCs w:val="24"/>
          <w:lang w:eastAsia="ru-RU" w:bidi="ru-RU"/>
        </w:rPr>
        <w:t xml:space="preserve">, Казахстан, </w:t>
      </w:r>
    </w:p>
    <w:p w14:paraId="26710884" w14:textId="77777777" w:rsidR="00493B9C" w:rsidRPr="001C0A5B" w:rsidRDefault="00493B9C" w:rsidP="00493B9C">
      <w:pPr>
        <w:autoSpaceDE w:val="0"/>
        <w:autoSpaceDN w:val="0"/>
        <w:spacing w:after="0" w:line="240" w:lineRule="auto"/>
        <w:jc w:val="both"/>
        <w:rPr>
          <w:rFonts w:ascii="Times New Roman" w:eastAsia="Microsoft Sans Serif" w:hAnsi="Times New Roman"/>
          <w:sz w:val="24"/>
          <w:szCs w:val="24"/>
          <w:lang w:eastAsia="ru-RU" w:bidi="ru-RU"/>
        </w:rPr>
      </w:pPr>
      <w:r w:rsidRPr="001C0A5B">
        <w:rPr>
          <w:rFonts w:ascii="Times New Roman" w:eastAsia="Microsoft Sans Serif" w:hAnsi="Times New Roman"/>
          <w:sz w:val="24"/>
          <w:szCs w:val="24"/>
          <w:lang w:eastAsia="ru-RU" w:bidi="ru-RU"/>
        </w:rPr>
        <w:lastRenderedPageBreak/>
        <w:t xml:space="preserve">050043, г. Алматы, мкр. Мирас, </w:t>
      </w:r>
      <w:r w:rsidR="007545AB" w:rsidRPr="001C0A5B">
        <w:rPr>
          <w:rFonts w:ascii="Times New Roman" w:eastAsia="Microsoft Sans Serif" w:hAnsi="Times New Roman"/>
          <w:sz w:val="24"/>
          <w:szCs w:val="24"/>
          <w:lang w:eastAsia="ru-RU" w:bidi="ru-RU"/>
        </w:rPr>
        <w:t xml:space="preserve">д. </w:t>
      </w:r>
      <w:r w:rsidRPr="001C0A5B">
        <w:rPr>
          <w:rFonts w:ascii="Times New Roman" w:eastAsia="Microsoft Sans Serif" w:hAnsi="Times New Roman"/>
          <w:sz w:val="24"/>
          <w:szCs w:val="24"/>
          <w:lang w:eastAsia="ru-RU" w:bidi="ru-RU"/>
        </w:rPr>
        <w:t>157, н.п. 819</w:t>
      </w:r>
    </w:p>
    <w:p w14:paraId="59608898" w14:textId="470F50AB" w:rsidR="00215CBB" w:rsidRPr="003E4E01" w:rsidRDefault="00493B9C" w:rsidP="0078568D">
      <w:pPr>
        <w:autoSpaceDE w:val="0"/>
        <w:autoSpaceDN w:val="0"/>
        <w:spacing w:after="0" w:line="240" w:lineRule="auto"/>
        <w:jc w:val="both"/>
        <w:rPr>
          <w:rFonts w:ascii="Times New Roman" w:eastAsia="Microsoft Sans Serif" w:hAnsi="Times New Roman"/>
          <w:sz w:val="24"/>
          <w:szCs w:val="24"/>
          <w:lang w:val="en-US" w:eastAsia="ru-RU" w:bidi="ru-RU"/>
        </w:rPr>
      </w:pPr>
      <w:r w:rsidRPr="001C0A5B">
        <w:rPr>
          <w:rFonts w:ascii="Times New Roman" w:eastAsia="Microsoft Sans Serif" w:hAnsi="Times New Roman"/>
          <w:sz w:val="24"/>
          <w:szCs w:val="24"/>
          <w:lang w:eastAsia="ru-RU" w:bidi="ru-RU"/>
        </w:rPr>
        <w:t>Тел</w:t>
      </w:r>
      <w:r w:rsidRPr="001C0A5B">
        <w:rPr>
          <w:rFonts w:ascii="Times New Roman" w:eastAsia="Microsoft Sans Serif" w:hAnsi="Times New Roman"/>
          <w:sz w:val="24"/>
          <w:szCs w:val="24"/>
          <w:lang w:val="en-US" w:eastAsia="ru-RU" w:bidi="ru-RU"/>
        </w:rPr>
        <w:t xml:space="preserve">. </w:t>
      </w:r>
      <w:r w:rsidR="00784772" w:rsidRPr="00236B7C">
        <w:rPr>
          <w:rFonts w:ascii="Times New Roman" w:eastAsia="Microsoft Sans Serif" w:hAnsi="Times New Roman"/>
          <w:sz w:val="24"/>
          <w:szCs w:val="24"/>
          <w:lang w:val="en-US" w:eastAsia="ru-RU" w:bidi="ru-RU"/>
        </w:rPr>
        <w:t xml:space="preserve">+7 </w:t>
      </w:r>
      <w:r w:rsidRPr="001C0A5B">
        <w:rPr>
          <w:rFonts w:ascii="Times New Roman" w:eastAsia="Microsoft Sans Serif" w:hAnsi="Times New Roman"/>
          <w:sz w:val="24"/>
          <w:szCs w:val="24"/>
          <w:lang w:val="en-US" w:eastAsia="ru-RU" w:bidi="ru-RU"/>
        </w:rPr>
        <w:t xml:space="preserve">(727) 311-81-96/97, e-mail: </w:t>
      </w:r>
      <w:r w:rsidR="001C0A5B" w:rsidRPr="001C0A5B">
        <w:rPr>
          <w:rFonts w:ascii="Times New Roman" w:eastAsia="Microsoft Sans Serif" w:hAnsi="Times New Roman"/>
          <w:sz w:val="24"/>
          <w:szCs w:val="24"/>
          <w:lang w:val="en-US" w:eastAsia="ru-RU" w:bidi="ru-RU"/>
        </w:rPr>
        <w:t>office.secretary@rogersgroup.in</w:t>
      </w:r>
    </w:p>
    <w:p w14:paraId="6765047C" w14:textId="77777777" w:rsidR="000B4EF4" w:rsidRDefault="000B4EF4" w:rsidP="0078568D">
      <w:pPr>
        <w:autoSpaceDE w:val="0"/>
        <w:autoSpaceDN w:val="0"/>
        <w:spacing w:after="0" w:line="240" w:lineRule="auto"/>
        <w:jc w:val="both"/>
        <w:rPr>
          <w:rFonts w:ascii="Times New Roman" w:eastAsia="Times New Roman" w:hAnsi="Times New Roman"/>
          <w:b/>
          <w:sz w:val="24"/>
          <w:szCs w:val="24"/>
          <w:lang w:val="uk-UA" w:eastAsia="ru-RU"/>
        </w:rPr>
      </w:pPr>
    </w:p>
    <w:p w14:paraId="2969FE03" w14:textId="77777777" w:rsidR="002511DF" w:rsidRPr="00493B9C" w:rsidRDefault="002511DF" w:rsidP="0078568D">
      <w:pPr>
        <w:autoSpaceDE w:val="0"/>
        <w:autoSpaceDN w:val="0"/>
        <w:spacing w:after="0" w:line="240" w:lineRule="auto"/>
        <w:jc w:val="both"/>
        <w:rPr>
          <w:rFonts w:ascii="Times New Roman" w:eastAsia="Times New Roman" w:hAnsi="Times New Roman"/>
          <w:b/>
          <w:sz w:val="24"/>
          <w:szCs w:val="24"/>
          <w:lang w:eastAsia="ru-RU"/>
        </w:rPr>
      </w:pPr>
      <w:r w:rsidRPr="00EE5F5F">
        <w:rPr>
          <w:rFonts w:ascii="Times New Roman" w:eastAsia="Times New Roman" w:hAnsi="Times New Roman"/>
          <w:b/>
          <w:sz w:val="24"/>
          <w:szCs w:val="24"/>
          <w:lang w:val="uk-UA" w:eastAsia="ru-RU"/>
        </w:rPr>
        <w:t xml:space="preserve">8. </w:t>
      </w:r>
      <w:r w:rsidRPr="00EE5F5F">
        <w:rPr>
          <w:rFonts w:ascii="Times New Roman" w:eastAsia="Times New Roman" w:hAnsi="Times New Roman" w:hint="eastAsia"/>
          <w:b/>
          <w:sz w:val="24"/>
          <w:szCs w:val="24"/>
          <w:lang w:val="uk-UA" w:eastAsia="ru-RU"/>
        </w:rPr>
        <w:t>НОМЕР</w:t>
      </w:r>
      <w:r w:rsidRPr="00EE5F5F">
        <w:rPr>
          <w:rFonts w:ascii="Times New Roman" w:eastAsia="Times New Roman" w:hAnsi="Times New Roman"/>
          <w:b/>
          <w:sz w:val="24"/>
          <w:szCs w:val="24"/>
          <w:lang w:val="uk-UA" w:eastAsia="ru-RU"/>
        </w:rPr>
        <w:t xml:space="preserve"> </w:t>
      </w:r>
      <w:r w:rsidRPr="00EE5F5F">
        <w:rPr>
          <w:rFonts w:ascii="Times New Roman" w:eastAsia="Times New Roman" w:hAnsi="Times New Roman" w:hint="eastAsia"/>
          <w:b/>
          <w:sz w:val="24"/>
          <w:szCs w:val="24"/>
          <w:lang w:val="uk-UA" w:eastAsia="ru-RU"/>
        </w:rPr>
        <w:t>РЕГИСТРАЦИОННОГО</w:t>
      </w:r>
      <w:r w:rsidRPr="00EE5F5F">
        <w:rPr>
          <w:rFonts w:ascii="Times New Roman" w:eastAsia="Times New Roman" w:hAnsi="Times New Roman"/>
          <w:b/>
          <w:sz w:val="24"/>
          <w:szCs w:val="24"/>
          <w:lang w:val="uk-UA" w:eastAsia="ru-RU"/>
        </w:rPr>
        <w:t xml:space="preserve"> </w:t>
      </w:r>
      <w:r w:rsidRPr="00EE5F5F">
        <w:rPr>
          <w:rFonts w:ascii="Times New Roman" w:eastAsia="Times New Roman" w:hAnsi="Times New Roman" w:hint="eastAsia"/>
          <w:b/>
          <w:sz w:val="24"/>
          <w:szCs w:val="24"/>
          <w:lang w:val="uk-UA" w:eastAsia="ru-RU"/>
        </w:rPr>
        <w:t>УДОСТОВЕРЕНИЯ</w:t>
      </w:r>
    </w:p>
    <w:p w14:paraId="62428152" w14:textId="77777777" w:rsidR="00215CBB" w:rsidRDefault="00493B9C" w:rsidP="0078568D">
      <w:pPr>
        <w:autoSpaceDE w:val="0"/>
        <w:autoSpaceDN w:val="0"/>
        <w:spacing w:after="0" w:line="240" w:lineRule="auto"/>
        <w:jc w:val="both"/>
        <w:rPr>
          <w:rFonts w:ascii="Times New Roman" w:hAnsi="Times New Roman"/>
          <w:sz w:val="24"/>
          <w:szCs w:val="24"/>
        </w:rPr>
      </w:pPr>
      <w:r w:rsidRPr="00493B9C">
        <w:rPr>
          <w:rFonts w:ascii="Times New Roman" w:hAnsi="Times New Roman"/>
          <w:sz w:val="24"/>
          <w:szCs w:val="24"/>
        </w:rPr>
        <w:t>РК-ЛС-5№023732</w:t>
      </w:r>
    </w:p>
    <w:p w14:paraId="2C680487" w14:textId="77777777" w:rsidR="00493B9C" w:rsidRPr="00EE5F5F" w:rsidRDefault="00493B9C" w:rsidP="0078568D">
      <w:pPr>
        <w:autoSpaceDE w:val="0"/>
        <w:autoSpaceDN w:val="0"/>
        <w:spacing w:after="0" w:line="240" w:lineRule="auto"/>
        <w:jc w:val="both"/>
        <w:rPr>
          <w:rFonts w:ascii="Times New Roman" w:eastAsia="Times New Roman" w:hAnsi="Times New Roman"/>
          <w:b/>
          <w:sz w:val="24"/>
          <w:szCs w:val="24"/>
          <w:lang w:val="uk-UA" w:eastAsia="ru-RU"/>
        </w:rPr>
      </w:pPr>
    </w:p>
    <w:p w14:paraId="2D826B70" w14:textId="77777777" w:rsidR="002511DF" w:rsidRPr="00EE5F5F"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EE5F5F">
        <w:rPr>
          <w:rFonts w:ascii="Times New Roman" w:eastAsia="Times New Roman" w:hAnsi="Times New Roman"/>
          <w:b/>
          <w:sz w:val="24"/>
          <w:szCs w:val="24"/>
          <w:lang w:val="uk-UA" w:eastAsia="ru-RU"/>
        </w:rPr>
        <w:t xml:space="preserve">9. </w:t>
      </w:r>
      <w:r w:rsidRPr="00EE5F5F">
        <w:rPr>
          <w:rFonts w:ascii="Times New Roman" w:eastAsia="Times New Roman" w:hAnsi="Times New Roman" w:hint="eastAsia"/>
          <w:b/>
          <w:sz w:val="24"/>
          <w:szCs w:val="24"/>
          <w:lang w:val="uk-UA" w:eastAsia="ru-RU"/>
        </w:rPr>
        <w:t>ДАТА</w:t>
      </w:r>
      <w:r w:rsidRPr="00EE5F5F">
        <w:rPr>
          <w:rFonts w:ascii="Times New Roman" w:eastAsia="Times New Roman" w:hAnsi="Times New Roman"/>
          <w:b/>
          <w:sz w:val="24"/>
          <w:szCs w:val="24"/>
          <w:lang w:val="uk-UA" w:eastAsia="ru-RU"/>
        </w:rPr>
        <w:t xml:space="preserve"> </w:t>
      </w:r>
      <w:r w:rsidRPr="00EE5F5F">
        <w:rPr>
          <w:rFonts w:ascii="Times New Roman" w:eastAsia="Times New Roman" w:hAnsi="Times New Roman" w:hint="eastAsia"/>
          <w:b/>
          <w:sz w:val="24"/>
          <w:szCs w:val="24"/>
          <w:lang w:val="uk-UA" w:eastAsia="ru-RU"/>
        </w:rPr>
        <w:t>ПЕРВИЧНОЙ</w:t>
      </w:r>
      <w:r w:rsidRPr="00EE5F5F">
        <w:rPr>
          <w:rFonts w:ascii="Times New Roman" w:eastAsia="Times New Roman" w:hAnsi="Times New Roman"/>
          <w:b/>
          <w:sz w:val="24"/>
          <w:szCs w:val="24"/>
          <w:lang w:val="uk-UA" w:eastAsia="ru-RU"/>
        </w:rPr>
        <w:t xml:space="preserve"> </w:t>
      </w:r>
      <w:r w:rsidRPr="00EE5F5F">
        <w:rPr>
          <w:rFonts w:ascii="Times New Roman" w:eastAsia="Times New Roman" w:hAnsi="Times New Roman" w:hint="eastAsia"/>
          <w:b/>
          <w:sz w:val="24"/>
          <w:szCs w:val="24"/>
          <w:lang w:val="uk-UA" w:eastAsia="ru-RU"/>
        </w:rPr>
        <w:t>РЕГИСТРАЦИИ</w:t>
      </w:r>
      <w:r w:rsidRPr="00EE5F5F">
        <w:rPr>
          <w:rFonts w:ascii="Times New Roman" w:eastAsia="Times New Roman" w:hAnsi="Times New Roman"/>
          <w:b/>
          <w:sz w:val="24"/>
          <w:szCs w:val="24"/>
          <w:lang w:val="uk-UA" w:eastAsia="ru-RU"/>
        </w:rPr>
        <w:t xml:space="preserve"> (</w:t>
      </w:r>
      <w:r w:rsidRPr="00EE5F5F">
        <w:rPr>
          <w:rFonts w:ascii="Times New Roman" w:eastAsia="Times New Roman" w:hAnsi="Times New Roman" w:hint="eastAsia"/>
          <w:b/>
          <w:sz w:val="24"/>
          <w:szCs w:val="24"/>
          <w:lang w:val="uk-UA" w:eastAsia="ru-RU"/>
        </w:rPr>
        <w:t>ПОДТВЕРЖДЕНИЯ</w:t>
      </w:r>
      <w:r w:rsidRPr="00EE5F5F">
        <w:rPr>
          <w:rFonts w:ascii="Times New Roman" w:eastAsia="Times New Roman" w:hAnsi="Times New Roman"/>
          <w:b/>
          <w:sz w:val="24"/>
          <w:szCs w:val="24"/>
          <w:lang w:val="uk-UA" w:eastAsia="ru-RU"/>
        </w:rPr>
        <w:t xml:space="preserve"> </w:t>
      </w:r>
      <w:r w:rsidRPr="00EE5F5F">
        <w:rPr>
          <w:rFonts w:ascii="Times New Roman" w:eastAsia="Times New Roman" w:hAnsi="Times New Roman" w:hint="eastAsia"/>
          <w:b/>
          <w:sz w:val="24"/>
          <w:szCs w:val="24"/>
          <w:lang w:val="uk-UA" w:eastAsia="ru-RU"/>
        </w:rPr>
        <w:t>РЕГИСТРАЦИИ</w:t>
      </w:r>
      <w:r w:rsidRPr="00EE5F5F">
        <w:rPr>
          <w:rFonts w:ascii="Times New Roman" w:eastAsia="Times New Roman" w:hAnsi="Times New Roman"/>
          <w:b/>
          <w:sz w:val="24"/>
          <w:szCs w:val="24"/>
          <w:lang w:val="uk-UA" w:eastAsia="ru-RU"/>
        </w:rPr>
        <w:t xml:space="preserve">, </w:t>
      </w:r>
      <w:r w:rsidRPr="00EE5F5F">
        <w:rPr>
          <w:rFonts w:ascii="Times New Roman" w:eastAsia="Times New Roman" w:hAnsi="Times New Roman" w:hint="eastAsia"/>
          <w:b/>
          <w:sz w:val="24"/>
          <w:szCs w:val="24"/>
          <w:lang w:val="uk-UA" w:eastAsia="ru-RU"/>
        </w:rPr>
        <w:t>ПЕРЕРЕГИСТРАЦИИ</w:t>
      </w:r>
      <w:r w:rsidRPr="00EE5F5F">
        <w:rPr>
          <w:rFonts w:ascii="Times New Roman" w:eastAsia="Times New Roman" w:hAnsi="Times New Roman"/>
          <w:b/>
          <w:sz w:val="24"/>
          <w:szCs w:val="24"/>
          <w:lang w:val="uk-UA" w:eastAsia="ru-RU"/>
        </w:rPr>
        <w:t>)</w:t>
      </w:r>
    </w:p>
    <w:p w14:paraId="7F606A98" w14:textId="6B118D24" w:rsidR="00B91443" w:rsidRDefault="00493B9C" w:rsidP="0078568D">
      <w:pPr>
        <w:pStyle w:val="Style5"/>
        <w:widowControl/>
        <w:tabs>
          <w:tab w:val="left" w:pos="7371"/>
        </w:tabs>
        <w:spacing w:line="240" w:lineRule="auto"/>
        <w:rPr>
          <w:rFonts w:eastAsia="Microsoft Sans Serif"/>
          <w:lang w:bidi="ru-RU"/>
        </w:rPr>
      </w:pPr>
      <w:r w:rsidRPr="00493B9C">
        <w:rPr>
          <w:rFonts w:eastAsia="Microsoft Sans Serif"/>
          <w:lang w:bidi="ru-RU"/>
        </w:rPr>
        <w:t>09.07.2018</w:t>
      </w:r>
    </w:p>
    <w:p w14:paraId="1B6086FB" w14:textId="128053E6" w:rsidR="00F278AF" w:rsidRDefault="00F278AF" w:rsidP="0078568D">
      <w:pPr>
        <w:pStyle w:val="Style5"/>
        <w:widowControl/>
        <w:tabs>
          <w:tab w:val="left" w:pos="7371"/>
        </w:tabs>
        <w:spacing w:line="240" w:lineRule="auto"/>
        <w:rPr>
          <w:rFonts w:eastAsia="Microsoft Sans Serif"/>
          <w:lang w:bidi="ru-RU"/>
        </w:rPr>
      </w:pPr>
      <w:r>
        <w:rPr>
          <w:rFonts w:eastAsia="Microsoft Sans Serif"/>
          <w:lang w:bidi="ru-RU"/>
        </w:rPr>
        <w:t>28.04.2023</w:t>
      </w:r>
    </w:p>
    <w:p w14:paraId="30E6514A" w14:textId="77777777" w:rsidR="00493B9C" w:rsidRPr="00EE5F5F" w:rsidRDefault="00493B9C" w:rsidP="0078568D">
      <w:pPr>
        <w:pStyle w:val="Style5"/>
        <w:widowControl/>
        <w:tabs>
          <w:tab w:val="left" w:pos="7371"/>
        </w:tabs>
        <w:spacing w:line="240" w:lineRule="auto"/>
        <w:rPr>
          <w:rFonts w:eastAsia="Microsoft Sans Serif"/>
          <w:lang w:bidi="ru-RU"/>
        </w:rPr>
      </w:pPr>
    </w:p>
    <w:p w14:paraId="0EC95855" w14:textId="6962B972" w:rsidR="007545AB" w:rsidRDefault="00DF47EB" w:rsidP="00724DB0">
      <w:pPr>
        <w:spacing w:after="0" w:line="240" w:lineRule="auto"/>
        <w:jc w:val="both"/>
        <w:rPr>
          <w:rFonts w:ascii="Times New Roman" w:hAnsi="Times New Roman"/>
          <w:b/>
          <w:caps/>
          <w:sz w:val="24"/>
          <w:szCs w:val="24"/>
        </w:rPr>
      </w:pPr>
      <w:r w:rsidRPr="00EE5F5F">
        <w:rPr>
          <w:rFonts w:ascii="Times New Roman" w:hAnsi="Times New Roman"/>
          <w:b/>
          <w:sz w:val="24"/>
          <w:szCs w:val="24"/>
        </w:rPr>
        <w:t xml:space="preserve">10. </w:t>
      </w:r>
      <w:r w:rsidRPr="00EE5F5F">
        <w:rPr>
          <w:rFonts w:ascii="Times New Roman" w:hAnsi="Times New Roman"/>
          <w:b/>
          <w:caps/>
          <w:sz w:val="24"/>
          <w:szCs w:val="24"/>
        </w:rPr>
        <w:t xml:space="preserve">Дата пересмотра текста </w:t>
      </w:r>
    </w:p>
    <w:p w14:paraId="0B712AED" w14:textId="77777777" w:rsidR="00D514E2" w:rsidRPr="000B4EF4" w:rsidRDefault="00D514E2" w:rsidP="00724DB0">
      <w:pPr>
        <w:spacing w:after="0" w:line="240" w:lineRule="auto"/>
        <w:jc w:val="both"/>
        <w:rPr>
          <w:rFonts w:ascii="Times New Roman" w:hAnsi="Times New Roman"/>
          <w:b/>
          <w:caps/>
          <w:sz w:val="24"/>
          <w:szCs w:val="24"/>
        </w:rPr>
      </w:pPr>
    </w:p>
    <w:p w14:paraId="5D4E5D30" w14:textId="77777777" w:rsidR="00B91443" w:rsidRPr="00EE5F5F" w:rsidRDefault="00B91443" w:rsidP="00724DB0">
      <w:pPr>
        <w:spacing w:after="0" w:line="240" w:lineRule="auto"/>
        <w:jc w:val="both"/>
        <w:rPr>
          <w:rFonts w:eastAsia="Microsoft Sans Serif"/>
          <w:sz w:val="24"/>
          <w:szCs w:val="24"/>
          <w:lang w:bidi="ru-RU"/>
        </w:rPr>
      </w:pPr>
      <w:r w:rsidRPr="00EE5F5F">
        <w:rPr>
          <w:rFonts w:ascii="Times New Roman" w:eastAsia="TimesNewRomanPSMT" w:hAnsi="Times New Roman"/>
          <w:sz w:val="24"/>
          <w:szCs w:val="24"/>
          <w:lang w:eastAsia="ru-RU"/>
        </w:rPr>
        <w:t xml:space="preserve">Общая характеристика лекарственного препарата доступна на официальном сайте </w:t>
      </w:r>
      <w:hyperlink r:id="rId10" w:history="1">
        <w:r w:rsidRPr="00EE5F5F">
          <w:rPr>
            <w:rStyle w:val="af"/>
            <w:rFonts w:ascii="Times New Roman" w:hAnsi="Times New Roman"/>
            <w:sz w:val="24"/>
            <w:szCs w:val="24"/>
            <w:lang w:val="en-US"/>
          </w:rPr>
          <w:t>http</w:t>
        </w:r>
        <w:r w:rsidRPr="00EE5F5F">
          <w:rPr>
            <w:rStyle w:val="af"/>
            <w:rFonts w:ascii="Times New Roman" w:hAnsi="Times New Roman"/>
            <w:sz w:val="24"/>
            <w:szCs w:val="24"/>
          </w:rPr>
          <w:t>://</w:t>
        </w:r>
        <w:r w:rsidRPr="00EE5F5F">
          <w:rPr>
            <w:rStyle w:val="af"/>
            <w:rFonts w:ascii="Times New Roman" w:hAnsi="Times New Roman"/>
            <w:sz w:val="24"/>
            <w:szCs w:val="24"/>
            <w:lang w:val="en-US"/>
          </w:rPr>
          <w:t>www</w:t>
        </w:r>
        <w:r w:rsidRPr="00EE5F5F">
          <w:rPr>
            <w:rStyle w:val="af"/>
            <w:rFonts w:ascii="Times New Roman" w:hAnsi="Times New Roman"/>
            <w:sz w:val="24"/>
            <w:szCs w:val="24"/>
          </w:rPr>
          <w:t>.</w:t>
        </w:r>
        <w:r w:rsidRPr="00EE5F5F">
          <w:rPr>
            <w:rStyle w:val="af"/>
            <w:rFonts w:ascii="Times New Roman" w:hAnsi="Times New Roman"/>
            <w:sz w:val="24"/>
            <w:szCs w:val="24"/>
            <w:lang w:val="en-US"/>
          </w:rPr>
          <w:t>ndda</w:t>
        </w:r>
        <w:r w:rsidRPr="00EE5F5F">
          <w:rPr>
            <w:rStyle w:val="af"/>
            <w:rFonts w:ascii="Times New Roman" w:hAnsi="Times New Roman"/>
            <w:sz w:val="24"/>
            <w:szCs w:val="24"/>
          </w:rPr>
          <w:t>.</w:t>
        </w:r>
        <w:r w:rsidRPr="00EE5F5F">
          <w:rPr>
            <w:rStyle w:val="af"/>
            <w:rFonts w:ascii="Times New Roman" w:hAnsi="Times New Roman"/>
            <w:sz w:val="24"/>
            <w:szCs w:val="24"/>
            <w:lang w:val="en-US"/>
          </w:rPr>
          <w:t>kz</w:t>
        </w:r>
      </w:hyperlink>
      <w:r w:rsidRPr="00EE5F5F">
        <w:rPr>
          <w:rFonts w:ascii="Times New Roman" w:hAnsi="Times New Roman"/>
          <w:sz w:val="24"/>
          <w:szCs w:val="24"/>
        </w:rPr>
        <w:t xml:space="preserve"> </w:t>
      </w:r>
    </w:p>
    <w:sectPr w:rsidR="00B91443" w:rsidRPr="00EE5F5F" w:rsidSect="00F97B57">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4AF6" w14:textId="77777777" w:rsidR="00DA3D25" w:rsidRDefault="00DA3D25" w:rsidP="00D275FC">
      <w:pPr>
        <w:spacing w:after="0" w:line="240" w:lineRule="auto"/>
      </w:pPr>
      <w:r>
        <w:separator/>
      </w:r>
    </w:p>
  </w:endnote>
  <w:endnote w:type="continuationSeparator" w:id="0">
    <w:p w14:paraId="369EB968" w14:textId="77777777" w:rsidR="00DA3D25" w:rsidRDefault="00DA3D25"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437D" w14:textId="77777777" w:rsidR="00DA3D25" w:rsidRDefault="00DA3D25" w:rsidP="00D275FC">
      <w:pPr>
        <w:spacing w:after="0" w:line="240" w:lineRule="auto"/>
      </w:pPr>
      <w:r>
        <w:separator/>
      </w:r>
    </w:p>
  </w:footnote>
  <w:footnote w:type="continuationSeparator" w:id="0">
    <w:p w14:paraId="403CA286" w14:textId="77777777" w:rsidR="00DA3D25" w:rsidRDefault="00DA3D25"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1226" w14:textId="77777777" w:rsidR="00D275FC" w:rsidRDefault="000B4EF4">
    <w:pPr>
      <w:pStyle w:val="af1"/>
    </w:pPr>
    <w:r>
      <w:rPr>
        <w:noProof/>
        <w:lang w:eastAsia="ru-RU"/>
      </w:rPr>
      <mc:AlternateContent>
        <mc:Choice Requires="wps">
          <w:drawing>
            <wp:anchor distT="0" distB="0" distL="114300" distR="114300" simplePos="0" relativeHeight="251657728" behindDoc="0" locked="0" layoutInCell="1" allowOverlap="1" wp14:anchorId="472708F2" wp14:editId="3F8EF69E">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A97E8E8"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2708F2"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6A97E8E8"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E322F3"/>
    <w:multiLevelType w:val="hybridMultilevel"/>
    <w:tmpl w:val="17D6BC00"/>
    <w:lvl w:ilvl="0" w:tplc="040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5977A13"/>
    <w:multiLevelType w:val="hybridMultilevel"/>
    <w:tmpl w:val="F3F6D86A"/>
    <w:lvl w:ilvl="0" w:tplc="04090011">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610EEC"/>
    <w:multiLevelType w:val="hybridMultilevel"/>
    <w:tmpl w:val="2C32DDD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5"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3"/>
  </w:num>
  <w:num w:numId="4">
    <w:abstractNumId w:val="21"/>
  </w:num>
  <w:num w:numId="5">
    <w:abstractNumId w:val="27"/>
  </w:num>
  <w:num w:numId="6">
    <w:abstractNumId w:val="6"/>
  </w:num>
  <w:num w:numId="7">
    <w:abstractNumId w:val="25"/>
  </w:num>
  <w:num w:numId="8">
    <w:abstractNumId w:val="8"/>
  </w:num>
  <w:num w:numId="9">
    <w:abstractNumId w:val="18"/>
  </w:num>
  <w:num w:numId="10">
    <w:abstractNumId w:val="9"/>
  </w:num>
  <w:num w:numId="11">
    <w:abstractNumId w:val="17"/>
  </w:num>
  <w:num w:numId="12">
    <w:abstractNumId w:val="20"/>
  </w:num>
  <w:num w:numId="13">
    <w:abstractNumId w:val="22"/>
  </w:num>
  <w:num w:numId="14">
    <w:abstractNumId w:val="13"/>
  </w:num>
  <w:num w:numId="15">
    <w:abstractNumId w:val="1"/>
  </w:num>
  <w:num w:numId="16">
    <w:abstractNumId w:val="26"/>
  </w:num>
  <w:num w:numId="17">
    <w:abstractNumId w:val="16"/>
  </w:num>
  <w:num w:numId="18">
    <w:abstractNumId w:val="15"/>
  </w:num>
  <w:num w:numId="19">
    <w:abstractNumId w:val="7"/>
  </w:num>
  <w:num w:numId="20">
    <w:abstractNumId w:val="2"/>
  </w:num>
  <w:num w:numId="21">
    <w:abstractNumId w:val="11"/>
  </w:num>
  <w:num w:numId="22">
    <w:abstractNumId w:val="5"/>
  </w:num>
  <w:num w:numId="23">
    <w:abstractNumId w:val="24"/>
  </w:num>
  <w:num w:numId="24">
    <w:abstractNumId w:val="12"/>
  </w:num>
  <w:num w:numId="25">
    <w:abstractNumId w:val="0"/>
  </w:num>
  <w:num w:numId="26">
    <w:abstractNumId w:val="10"/>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06937"/>
    <w:rsid w:val="00010371"/>
    <w:rsid w:val="0002049D"/>
    <w:rsid w:val="000264BB"/>
    <w:rsid w:val="00026A9C"/>
    <w:rsid w:val="00033FC1"/>
    <w:rsid w:val="00042999"/>
    <w:rsid w:val="0005238D"/>
    <w:rsid w:val="000639F9"/>
    <w:rsid w:val="000643A9"/>
    <w:rsid w:val="000852A1"/>
    <w:rsid w:val="000972E6"/>
    <w:rsid w:val="000A0D71"/>
    <w:rsid w:val="000A15B0"/>
    <w:rsid w:val="000A272B"/>
    <w:rsid w:val="000B4EF4"/>
    <w:rsid w:val="000C2C4B"/>
    <w:rsid w:val="000C3EBE"/>
    <w:rsid w:val="000C4C48"/>
    <w:rsid w:val="000D184E"/>
    <w:rsid w:val="000D457D"/>
    <w:rsid w:val="000E01AB"/>
    <w:rsid w:val="000E153C"/>
    <w:rsid w:val="000E34FB"/>
    <w:rsid w:val="000E3634"/>
    <w:rsid w:val="000E49F0"/>
    <w:rsid w:val="000E6126"/>
    <w:rsid w:val="00100406"/>
    <w:rsid w:val="00107A8A"/>
    <w:rsid w:val="00111788"/>
    <w:rsid w:val="00120934"/>
    <w:rsid w:val="00122958"/>
    <w:rsid w:val="00123DB5"/>
    <w:rsid w:val="00125232"/>
    <w:rsid w:val="00126CF1"/>
    <w:rsid w:val="00132B9A"/>
    <w:rsid w:val="001335E7"/>
    <w:rsid w:val="00135DBF"/>
    <w:rsid w:val="001368AE"/>
    <w:rsid w:val="00144CCD"/>
    <w:rsid w:val="0014699B"/>
    <w:rsid w:val="0014739A"/>
    <w:rsid w:val="0015490C"/>
    <w:rsid w:val="001573E2"/>
    <w:rsid w:val="0016278D"/>
    <w:rsid w:val="001644ED"/>
    <w:rsid w:val="00164E5D"/>
    <w:rsid w:val="00183EB4"/>
    <w:rsid w:val="001872CE"/>
    <w:rsid w:val="001937AD"/>
    <w:rsid w:val="001A00A2"/>
    <w:rsid w:val="001A2CB2"/>
    <w:rsid w:val="001A3A84"/>
    <w:rsid w:val="001A7FD6"/>
    <w:rsid w:val="001B3B67"/>
    <w:rsid w:val="001B6AEC"/>
    <w:rsid w:val="001C0A5B"/>
    <w:rsid w:val="001C1D28"/>
    <w:rsid w:val="001C285D"/>
    <w:rsid w:val="001D0B84"/>
    <w:rsid w:val="001E5E2A"/>
    <w:rsid w:val="001E6F4C"/>
    <w:rsid w:val="001F058F"/>
    <w:rsid w:val="001F16AA"/>
    <w:rsid w:val="00200F3B"/>
    <w:rsid w:val="00203355"/>
    <w:rsid w:val="0020414E"/>
    <w:rsid w:val="00211005"/>
    <w:rsid w:val="0021309A"/>
    <w:rsid w:val="00215CBB"/>
    <w:rsid w:val="00217D41"/>
    <w:rsid w:val="002222A9"/>
    <w:rsid w:val="00222CA6"/>
    <w:rsid w:val="00232642"/>
    <w:rsid w:val="00233CCA"/>
    <w:rsid w:val="00236B7C"/>
    <w:rsid w:val="00237697"/>
    <w:rsid w:val="002410EA"/>
    <w:rsid w:val="00250EDB"/>
    <w:rsid w:val="002511DF"/>
    <w:rsid w:val="002516CD"/>
    <w:rsid w:val="002520B9"/>
    <w:rsid w:val="00253209"/>
    <w:rsid w:val="00256E10"/>
    <w:rsid w:val="00260413"/>
    <w:rsid w:val="00260EBC"/>
    <w:rsid w:val="00262D22"/>
    <w:rsid w:val="00264710"/>
    <w:rsid w:val="00264A6E"/>
    <w:rsid w:val="00267567"/>
    <w:rsid w:val="00270B0A"/>
    <w:rsid w:val="00277CC7"/>
    <w:rsid w:val="00280121"/>
    <w:rsid w:val="00281FBE"/>
    <w:rsid w:val="00290D2E"/>
    <w:rsid w:val="00292715"/>
    <w:rsid w:val="00297498"/>
    <w:rsid w:val="002A591C"/>
    <w:rsid w:val="002C10E1"/>
    <w:rsid w:val="002C15EB"/>
    <w:rsid w:val="002C1660"/>
    <w:rsid w:val="002C35A2"/>
    <w:rsid w:val="002C5345"/>
    <w:rsid w:val="002D56B7"/>
    <w:rsid w:val="002E04B7"/>
    <w:rsid w:val="002E0BAD"/>
    <w:rsid w:val="002E1108"/>
    <w:rsid w:val="002E5F6F"/>
    <w:rsid w:val="002F4A14"/>
    <w:rsid w:val="003043BF"/>
    <w:rsid w:val="00320073"/>
    <w:rsid w:val="003262DF"/>
    <w:rsid w:val="00332951"/>
    <w:rsid w:val="0034682B"/>
    <w:rsid w:val="00356237"/>
    <w:rsid w:val="0036288F"/>
    <w:rsid w:val="00365B10"/>
    <w:rsid w:val="00367BA7"/>
    <w:rsid w:val="00370827"/>
    <w:rsid w:val="00372082"/>
    <w:rsid w:val="00375AC1"/>
    <w:rsid w:val="003761C0"/>
    <w:rsid w:val="00381140"/>
    <w:rsid w:val="003812B2"/>
    <w:rsid w:val="00383CDB"/>
    <w:rsid w:val="003843BA"/>
    <w:rsid w:val="00384EFD"/>
    <w:rsid w:val="0038595A"/>
    <w:rsid w:val="003879F9"/>
    <w:rsid w:val="00392508"/>
    <w:rsid w:val="00394030"/>
    <w:rsid w:val="003976C7"/>
    <w:rsid w:val="003A035E"/>
    <w:rsid w:val="003A577F"/>
    <w:rsid w:val="003B0285"/>
    <w:rsid w:val="003C07E3"/>
    <w:rsid w:val="003C659E"/>
    <w:rsid w:val="003D6BAA"/>
    <w:rsid w:val="003D7780"/>
    <w:rsid w:val="003E13CF"/>
    <w:rsid w:val="003E4E01"/>
    <w:rsid w:val="003E4F5E"/>
    <w:rsid w:val="003E607B"/>
    <w:rsid w:val="003F063A"/>
    <w:rsid w:val="003F5344"/>
    <w:rsid w:val="003F7EDC"/>
    <w:rsid w:val="00400E14"/>
    <w:rsid w:val="00404548"/>
    <w:rsid w:val="0041162E"/>
    <w:rsid w:val="004124BA"/>
    <w:rsid w:val="004125D8"/>
    <w:rsid w:val="00416507"/>
    <w:rsid w:val="004200EA"/>
    <w:rsid w:val="0042786D"/>
    <w:rsid w:val="00427BDD"/>
    <w:rsid w:val="004336FF"/>
    <w:rsid w:val="00433C62"/>
    <w:rsid w:val="0044339E"/>
    <w:rsid w:val="004528E1"/>
    <w:rsid w:val="00456F01"/>
    <w:rsid w:val="00470F04"/>
    <w:rsid w:val="00472EF5"/>
    <w:rsid w:val="0047441E"/>
    <w:rsid w:val="00477290"/>
    <w:rsid w:val="0048687C"/>
    <w:rsid w:val="0049318D"/>
    <w:rsid w:val="00493B9C"/>
    <w:rsid w:val="004A31B4"/>
    <w:rsid w:val="004A7038"/>
    <w:rsid w:val="004C1922"/>
    <w:rsid w:val="004C462F"/>
    <w:rsid w:val="004C6613"/>
    <w:rsid w:val="004D49E9"/>
    <w:rsid w:val="004D761F"/>
    <w:rsid w:val="004F294C"/>
    <w:rsid w:val="004F45AC"/>
    <w:rsid w:val="00500906"/>
    <w:rsid w:val="00501657"/>
    <w:rsid w:val="00506C9D"/>
    <w:rsid w:val="005071DA"/>
    <w:rsid w:val="00523D82"/>
    <w:rsid w:val="005252D5"/>
    <w:rsid w:val="00541A00"/>
    <w:rsid w:val="005444B2"/>
    <w:rsid w:val="005456ED"/>
    <w:rsid w:val="00547209"/>
    <w:rsid w:val="00552F31"/>
    <w:rsid w:val="00552F8B"/>
    <w:rsid w:val="00555608"/>
    <w:rsid w:val="00561FE7"/>
    <w:rsid w:val="005643DF"/>
    <w:rsid w:val="00566737"/>
    <w:rsid w:val="00567153"/>
    <w:rsid w:val="0057324F"/>
    <w:rsid w:val="00575348"/>
    <w:rsid w:val="005869C5"/>
    <w:rsid w:val="005921EA"/>
    <w:rsid w:val="005924F5"/>
    <w:rsid w:val="00593F7B"/>
    <w:rsid w:val="005A3C81"/>
    <w:rsid w:val="005A5680"/>
    <w:rsid w:val="005A6639"/>
    <w:rsid w:val="005A6914"/>
    <w:rsid w:val="005B3FFE"/>
    <w:rsid w:val="005C1519"/>
    <w:rsid w:val="005C1C4E"/>
    <w:rsid w:val="005C2FFD"/>
    <w:rsid w:val="005C4994"/>
    <w:rsid w:val="005C4A16"/>
    <w:rsid w:val="005D66F3"/>
    <w:rsid w:val="005D68C6"/>
    <w:rsid w:val="005D7EE3"/>
    <w:rsid w:val="005E0561"/>
    <w:rsid w:val="005E50DE"/>
    <w:rsid w:val="005E7569"/>
    <w:rsid w:val="005E76DA"/>
    <w:rsid w:val="005F64EF"/>
    <w:rsid w:val="005F7097"/>
    <w:rsid w:val="00602D46"/>
    <w:rsid w:val="0060364A"/>
    <w:rsid w:val="00604FC8"/>
    <w:rsid w:val="00607239"/>
    <w:rsid w:val="0061557D"/>
    <w:rsid w:val="00617197"/>
    <w:rsid w:val="00617843"/>
    <w:rsid w:val="00620F34"/>
    <w:rsid w:val="00624C1B"/>
    <w:rsid w:val="00625471"/>
    <w:rsid w:val="0062661D"/>
    <w:rsid w:val="00627853"/>
    <w:rsid w:val="00632571"/>
    <w:rsid w:val="00634D0C"/>
    <w:rsid w:val="006379F2"/>
    <w:rsid w:val="0065148D"/>
    <w:rsid w:val="00652BCE"/>
    <w:rsid w:val="00652E29"/>
    <w:rsid w:val="00653617"/>
    <w:rsid w:val="0067136B"/>
    <w:rsid w:val="0067245A"/>
    <w:rsid w:val="00684222"/>
    <w:rsid w:val="0068665F"/>
    <w:rsid w:val="00691208"/>
    <w:rsid w:val="006936B9"/>
    <w:rsid w:val="006A23C4"/>
    <w:rsid w:val="006A54D2"/>
    <w:rsid w:val="006A702E"/>
    <w:rsid w:val="006B1751"/>
    <w:rsid w:val="006B7A90"/>
    <w:rsid w:val="006C33FD"/>
    <w:rsid w:val="006C5F38"/>
    <w:rsid w:val="006D5986"/>
    <w:rsid w:val="006D7D5A"/>
    <w:rsid w:val="006E4305"/>
    <w:rsid w:val="006E5604"/>
    <w:rsid w:val="006E7251"/>
    <w:rsid w:val="006F000A"/>
    <w:rsid w:val="006F5763"/>
    <w:rsid w:val="00702B89"/>
    <w:rsid w:val="00704BAB"/>
    <w:rsid w:val="007104D1"/>
    <w:rsid w:val="007135A6"/>
    <w:rsid w:val="00724DB0"/>
    <w:rsid w:val="00725BD2"/>
    <w:rsid w:val="00726BD3"/>
    <w:rsid w:val="00730461"/>
    <w:rsid w:val="00733A73"/>
    <w:rsid w:val="00746C2F"/>
    <w:rsid w:val="00746FF2"/>
    <w:rsid w:val="007479AE"/>
    <w:rsid w:val="007544F0"/>
    <w:rsid w:val="007545AB"/>
    <w:rsid w:val="0075684F"/>
    <w:rsid w:val="00761133"/>
    <w:rsid w:val="00764E84"/>
    <w:rsid w:val="00765F7F"/>
    <w:rsid w:val="00772388"/>
    <w:rsid w:val="00774247"/>
    <w:rsid w:val="007762F8"/>
    <w:rsid w:val="00782532"/>
    <w:rsid w:val="00783520"/>
    <w:rsid w:val="00784772"/>
    <w:rsid w:val="00784D72"/>
    <w:rsid w:val="0078568D"/>
    <w:rsid w:val="007A02D3"/>
    <w:rsid w:val="007A18B1"/>
    <w:rsid w:val="007B011E"/>
    <w:rsid w:val="007C055A"/>
    <w:rsid w:val="007C1693"/>
    <w:rsid w:val="007C7235"/>
    <w:rsid w:val="007D0E84"/>
    <w:rsid w:val="007D681B"/>
    <w:rsid w:val="007E1D85"/>
    <w:rsid w:val="007E5504"/>
    <w:rsid w:val="00803517"/>
    <w:rsid w:val="00804A48"/>
    <w:rsid w:val="008106A7"/>
    <w:rsid w:val="0081154A"/>
    <w:rsid w:val="00814DFC"/>
    <w:rsid w:val="00820B36"/>
    <w:rsid w:val="00827BB2"/>
    <w:rsid w:val="00831E8C"/>
    <w:rsid w:val="008329DA"/>
    <w:rsid w:val="00832A7E"/>
    <w:rsid w:val="008330E7"/>
    <w:rsid w:val="008353A4"/>
    <w:rsid w:val="008407EF"/>
    <w:rsid w:val="008418F5"/>
    <w:rsid w:val="008451C8"/>
    <w:rsid w:val="00847154"/>
    <w:rsid w:val="00854254"/>
    <w:rsid w:val="00862FA8"/>
    <w:rsid w:val="0086657B"/>
    <w:rsid w:val="0087104B"/>
    <w:rsid w:val="0087765D"/>
    <w:rsid w:val="008832E5"/>
    <w:rsid w:val="00885A91"/>
    <w:rsid w:val="008872AB"/>
    <w:rsid w:val="00891EB8"/>
    <w:rsid w:val="0089401D"/>
    <w:rsid w:val="00895628"/>
    <w:rsid w:val="00897669"/>
    <w:rsid w:val="008A254C"/>
    <w:rsid w:val="008A49DC"/>
    <w:rsid w:val="008C0181"/>
    <w:rsid w:val="008C378A"/>
    <w:rsid w:val="008C6434"/>
    <w:rsid w:val="008D0B8D"/>
    <w:rsid w:val="008D4451"/>
    <w:rsid w:val="008D5B98"/>
    <w:rsid w:val="008D62B7"/>
    <w:rsid w:val="008E19AE"/>
    <w:rsid w:val="008E6895"/>
    <w:rsid w:val="008F0721"/>
    <w:rsid w:val="00900B3C"/>
    <w:rsid w:val="00904FB5"/>
    <w:rsid w:val="0091136C"/>
    <w:rsid w:val="009128A3"/>
    <w:rsid w:val="00930D7D"/>
    <w:rsid w:val="009315B5"/>
    <w:rsid w:val="00933A9B"/>
    <w:rsid w:val="00935393"/>
    <w:rsid w:val="009446B1"/>
    <w:rsid w:val="0094533D"/>
    <w:rsid w:val="00945967"/>
    <w:rsid w:val="0095047E"/>
    <w:rsid w:val="00956101"/>
    <w:rsid w:val="00957BAF"/>
    <w:rsid w:val="00962CD6"/>
    <w:rsid w:val="0096661D"/>
    <w:rsid w:val="00974EE1"/>
    <w:rsid w:val="00980ED0"/>
    <w:rsid w:val="00984D06"/>
    <w:rsid w:val="00985916"/>
    <w:rsid w:val="00986783"/>
    <w:rsid w:val="00993A60"/>
    <w:rsid w:val="009B014E"/>
    <w:rsid w:val="009D67EC"/>
    <w:rsid w:val="009D71D5"/>
    <w:rsid w:val="009E1254"/>
    <w:rsid w:val="009E2887"/>
    <w:rsid w:val="009E56D6"/>
    <w:rsid w:val="009E5CB9"/>
    <w:rsid w:val="009E7B3E"/>
    <w:rsid w:val="009F07F5"/>
    <w:rsid w:val="009F22EA"/>
    <w:rsid w:val="009F31F2"/>
    <w:rsid w:val="009F45A5"/>
    <w:rsid w:val="009F5A85"/>
    <w:rsid w:val="009F72B0"/>
    <w:rsid w:val="00A01C2E"/>
    <w:rsid w:val="00A02BB2"/>
    <w:rsid w:val="00A04052"/>
    <w:rsid w:val="00A0709E"/>
    <w:rsid w:val="00A074C5"/>
    <w:rsid w:val="00A07B7D"/>
    <w:rsid w:val="00A12563"/>
    <w:rsid w:val="00A2498C"/>
    <w:rsid w:val="00A26BB4"/>
    <w:rsid w:val="00A300B9"/>
    <w:rsid w:val="00A31019"/>
    <w:rsid w:val="00A470F6"/>
    <w:rsid w:val="00A8360A"/>
    <w:rsid w:val="00A84EA1"/>
    <w:rsid w:val="00AA1658"/>
    <w:rsid w:val="00AA4618"/>
    <w:rsid w:val="00AA5E2F"/>
    <w:rsid w:val="00AA7317"/>
    <w:rsid w:val="00AC2C0B"/>
    <w:rsid w:val="00AC4905"/>
    <w:rsid w:val="00AC60E1"/>
    <w:rsid w:val="00AE7922"/>
    <w:rsid w:val="00AF056B"/>
    <w:rsid w:val="00B01011"/>
    <w:rsid w:val="00B0449D"/>
    <w:rsid w:val="00B05BD1"/>
    <w:rsid w:val="00B10089"/>
    <w:rsid w:val="00B1222D"/>
    <w:rsid w:val="00B21CF0"/>
    <w:rsid w:val="00B22E50"/>
    <w:rsid w:val="00B26D35"/>
    <w:rsid w:val="00B46F30"/>
    <w:rsid w:val="00B471F2"/>
    <w:rsid w:val="00B51CE6"/>
    <w:rsid w:val="00B608C1"/>
    <w:rsid w:val="00B60D3D"/>
    <w:rsid w:val="00B61D95"/>
    <w:rsid w:val="00B65CA6"/>
    <w:rsid w:val="00B7231F"/>
    <w:rsid w:val="00B73A2D"/>
    <w:rsid w:val="00B90A1E"/>
    <w:rsid w:val="00B91443"/>
    <w:rsid w:val="00B9187F"/>
    <w:rsid w:val="00BA2BF3"/>
    <w:rsid w:val="00BA549B"/>
    <w:rsid w:val="00BB111F"/>
    <w:rsid w:val="00BB3050"/>
    <w:rsid w:val="00BB7831"/>
    <w:rsid w:val="00BC31BC"/>
    <w:rsid w:val="00BC6167"/>
    <w:rsid w:val="00BC67EE"/>
    <w:rsid w:val="00BC6A01"/>
    <w:rsid w:val="00BE198F"/>
    <w:rsid w:val="00BE4435"/>
    <w:rsid w:val="00BE6B71"/>
    <w:rsid w:val="00C03CF0"/>
    <w:rsid w:val="00C07BB3"/>
    <w:rsid w:val="00C14086"/>
    <w:rsid w:val="00C153F2"/>
    <w:rsid w:val="00C2000E"/>
    <w:rsid w:val="00C21F25"/>
    <w:rsid w:val="00C23459"/>
    <w:rsid w:val="00C379C9"/>
    <w:rsid w:val="00C417AB"/>
    <w:rsid w:val="00C422B8"/>
    <w:rsid w:val="00C45867"/>
    <w:rsid w:val="00C566D6"/>
    <w:rsid w:val="00C71E57"/>
    <w:rsid w:val="00C764D9"/>
    <w:rsid w:val="00C77910"/>
    <w:rsid w:val="00C81892"/>
    <w:rsid w:val="00C839ED"/>
    <w:rsid w:val="00C83A16"/>
    <w:rsid w:val="00C84299"/>
    <w:rsid w:val="00C92F14"/>
    <w:rsid w:val="00C94B98"/>
    <w:rsid w:val="00C97365"/>
    <w:rsid w:val="00CA4C1A"/>
    <w:rsid w:val="00CC08BA"/>
    <w:rsid w:val="00CC330A"/>
    <w:rsid w:val="00CC5727"/>
    <w:rsid w:val="00CC7DBD"/>
    <w:rsid w:val="00CD6935"/>
    <w:rsid w:val="00CE03ED"/>
    <w:rsid w:val="00CE7F7F"/>
    <w:rsid w:val="00CF3849"/>
    <w:rsid w:val="00D0233C"/>
    <w:rsid w:val="00D02AC6"/>
    <w:rsid w:val="00D041C3"/>
    <w:rsid w:val="00D05346"/>
    <w:rsid w:val="00D10BC6"/>
    <w:rsid w:val="00D11462"/>
    <w:rsid w:val="00D142F2"/>
    <w:rsid w:val="00D14D61"/>
    <w:rsid w:val="00D22A47"/>
    <w:rsid w:val="00D242BA"/>
    <w:rsid w:val="00D25CB4"/>
    <w:rsid w:val="00D275FC"/>
    <w:rsid w:val="00D3279D"/>
    <w:rsid w:val="00D353CF"/>
    <w:rsid w:val="00D3576E"/>
    <w:rsid w:val="00D43297"/>
    <w:rsid w:val="00D46B0B"/>
    <w:rsid w:val="00D46C02"/>
    <w:rsid w:val="00D47459"/>
    <w:rsid w:val="00D514E2"/>
    <w:rsid w:val="00D55ED8"/>
    <w:rsid w:val="00D60C5A"/>
    <w:rsid w:val="00D67960"/>
    <w:rsid w:val="00D70DB6"/>
    <w:rsid w:val="00D723BC"/>
    <w:rsid w:val="00D735FE"/>
    <w:rsid w:val="00D76048"/>
    <w:rsid w:val="00D869A8"/>
    <w:rsid w:val="00D93C80"/>
    <w:rsid w:val="00D9686A"/>
    <w:rsid w:val="00D96A8F"/>
    <w:rsid w:val="00DA16F7"/>
    <w:rsid w:val="00DA1EFB"/>
    <w:rsid w:val="00DA3D25"/>
    <w:rsid w:val="00DB03FF"/>
    <w:rsid w:val="00DB2604"/>
    <w:rsid w:val="00DB406A"/>
    <w:rsid w:val="00DB7FB0"/>
    <w:rsid w:val="00DD5E3A"/>
    <w:rsid w:val="00DE4FC7"/>
    <w:rsid w:val="00DF11A7"/>
    <w:rsid w:val="00DF3381"/>
    <w:rsid w:val="00DF47EB"/>
    <w:rsid w:val="00E07BE2"/>
    <w:rsid w:val="00E211ED"/>
    <w:rsid w:val="00E271CB"/>
    <w:rsid w:val="00E301D0"/>
    <w:rsid w:val="00E317B2"/>
    <w:rsid w:val="00E33FE3"/>
    <w:rsid w:val="00E34FE3"/>
    <w:rsid w:val="00E50475"/>
    <w:rsid w:val="00E55D6C"/>
    <w:rsid w:val="00E57396"/>
    <w:rsid w:val="00E57F8A"/>
    <w:rsid w:val="00E704F3"/>
    <w:rsid w:val="00E70B85"/>
    <w:rsid w:val="00E75FFF"/>
    <w:rsid w:val="00E81A1B"/>
    <w:rsid w:val="00E81A86"/>
    <w:rsid w:val="00E8448A"/>
    <w:rsid w:val="00E85A7A"/>
    <w:rsid w:val="00E8607B"/>
    <w:rsid w:val="00E91073"/>
    <w:rsid w:val="00E93583"/>
    <w:rsid w:val="00E956F3"/>
    <w:rsid w:val="00EA2F86"/>
    <w:rsid w:val="00EA303C"/>
    <w:rsid w:val="00EA36D9"/>
    <w:rsid w:val="00EA41F5"/>
    <w:rsid w:val="00EA4DE3"/>
    <w:rsid w:val="00EA6D39"/>
    <w:rsid w:val="00EB1D97"/>
    <w:rsid w:val="00EB32A3"/>
    <w:rsid w:val="00EB3D3F"/>
    <w:rsid w:val="00EB41C1"/>
    <w:rsid w:val="00EC480E"/>
    <w:rsid w:val="00EC4E42"/>
    <w:rsid w:val="00EE04FB"/>
    <w:rsid w:val="00EE5F5F"/>
    <w:rsid w:val="00EF4C53"/>
    <w:rsid w:val="00F006F1"/>
    <w:rsid w:val="00F03A88"/>
    <w:rsid w:val="00F05540"/>
    <w:rsid w:val="00F07B7B"/>
    <w:rsid w:val="00F23B95"/>
    <w:rsid w:val="00F24F81"/>
    <w:rsid w:val="00F278AF"/>
    <w:rsid w:val="00F34699"/>
    <w:rsid w:val="00F35BD5"/>
    <w:rsid w:val="00F40388"/>
    <w:rsid w:val="00F42C5B"/>
    <w:rsid w:val="00F42D3C"/>
    <w:rsid w:val="00F564ED"/>
    <w:rsid w:val="00F56F75"/>
    <w:rsid w:val="00F6012B"/>
    <w:rsid w:val="00F63389"/>
    <w:rsid w:val="00F665E0"/>
    <w:rsid w:val="00F75136"/>
    <w:rsid w:val="00F91977"/>
    <w:rsid w:val="00F97B57"/>
    <w:rsid w:val="00FA16B9"/>
    <w:rsid w:val="00FA4F7C"/>
    <w:rsid w:val="00FB0456"/>
    <w:rsid w:val="00FB47F4"/>
    <w:rsid w:val="00FC17F4"/>
    <w:rsid w:val="00FC6DDA"/>
    <w:rsid w:val="00FD2B12"/>
    <w:rsid w:val="00FD2B9F"/>
    <w:rsid w:val="00FD6FA9"/>
    <w:rsid w:val="00FE4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B3996"/>
  <w15:docId w15:val="{34AF1A29-8BEA-49E0-9022-750F6451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5">
    <w:name w:val="heading 5"/>
    <w:basedOn w:val="a"/>
    <w:next w:val="a"/>
    <w:link w:val="50"/>
    <w:uiPriority w:val="9"/>
    <w:unhideWhenUsed/>
    <w:qFormat/>
    <w:rsid w:val="00277CC7"/>
    <w:pPr>
      <w:spacing w:before="240" w:after="60"/>
      <w:outlineLvl w:val="4"/>
    </w:pPr>
    <w:rPr>
      <w:rFonts w:eastAsia="Times New Roman"/>
      <w:b/>
      <w:bCs/>
      <w:i/>
      <w:iCs/>
      <w:sz w:val="26"/>
      <w:szCs w:val="26"/>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character" w:customStyle="1" w:styleId="14">
    <w:name w:val="Неразрешенное упоминание1"/>
    <w:uiPriority w:val="99"/>
    <w:semiHidden/>
    <w:unhideWhenUsed/>
    <w:rsid w:val="00493B9C"/>
    <w:rPr>
      <w:color w:val="605E5C"/>
      <w:shd w:val="clear" w:color="auto" w:fill="E1DFDD"/>
    </w:rPr>
  </w:style>
  <w:style w:type="character" w:customStyle="1" w:styleId="50">
    <w:name w:val="Заголовок 5 Знак"/>
    <w:link w:val="5"/>
    <w:uiPriority w:val="9"/>
    <w:rsid w:val="00277CC7"/>
    <w:rPr>
      <w:rFonts w:ascii="Calibri" w:eastAsia="Times New Roman" w:hAnsi="Calibri" w:cs="Times New Roman"/>
      <w:b/>
      <w:bCs/>
      <w:i/>
      <w:iCs/>
      <w:sz w:val="26"/>
      <w:szCs w:val="26"/>
      <w:lang w:eastAsia="en-US"/>
    </w:rPr>
  </w:style>
  <w:style w:type="paragraph" w:customStyle="1" w:styleId="Body">
    <w:name w:val="Body"/>
    <w:basedOn w:val="a"/>
    <w:link w:val="BodyChar"/>
    <w:rsid w:val="00277CC7"/>
    <w:pPr>
      <w:spacing w:after="0" w:line="240" w:lineRule="auto"/>
      <w:ind w:firstLine="288"/>
      <w:jc w:val="both"/>
    </w:pPr>
    <w:rPr>
      <w:rFonts w:ascii="Arial" w:eastAsia="Times New Roman" w:hAnsi="Arial"/>
      <w:sz w:val="20"/>
      <w:szCs w:val="20"/>
      <w:lang w:val="en-US"/>
    </w:rPr>
  </w:style>
  <w:style w:type="character" w:customStyle="1" w:styleId="BodyChar">
    <w:name w:val="Body Char"/>
    <w:link w:val="Body"/>
    <w:rsid w:val="00277CC7"/>
    <w:rPr>
      <w:rFonts w:ascii="Arial" w:eastAsia="Times New Roman"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588542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dda.kz" TargetMode="External"/><Relationship Id="rId4" Type="http://schemas.openxmlformats.org/officeDocument/2006/relationships/settings" Target="settings.xml"/><Relationship Id="rId9" Type="http://schemas.openxmlformats.org/officeDocument/2006/relationships/hyperlink" Target="http://www.ndda.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DADEE-D0F3-4008-B92B-1B455648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8197</Words>
  <Characters>46729</Characters>
  <Application>Microsoft Office Word</Application>
  <DocSecurity>0</DocSecurity>
  <Lines>389</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54817</CharactersWithSpaces>
  <SharedDoc>false</SharedDoc>
  <HLinks>
    <vt:vector size="12" baseType="variant">
      <vt:variant>
        <vt:i4>7667774</vt:i4>
      </vt:variant>
      <vt:variant>
        <vt:i4>3</vt:i4>
      </vt:variant>
      <vt:variant>
        <vt:i4>0</vt:i4>
      </vt:variant>
      <vt:variant>
        <vt:i4>5</vt:i4>
      </vt:variant>
      <vt:variant>
        <vt:lpwstr>http://www.ndda.kz/</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26</cp:revision>
  <cp:lastPrinted>2020-12-21T04:13:00Z</cp:lastPrinted>
  <dcterms:created xsi:type="dcterms:W3CDTF">2021-04-22T20:36:00Z</dcterms:created>
  <dcterms:modified xsi:type="dcterms:W3CDTF">2025-06-17T10:58:00Z</dcterms:modified>
</cp:coreProperties>
</file>